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804b" w14:textId="81a8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16 қарашадағы № 65/8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 және </w:t>
      </w:r>
      <w:r>
        <w:rPr>
          <w:rFonts w:ascii="Times New Roman"/>
          <w:b w:val="false"/>
          <w:i w:val="false"/>
          <w:color w:val="000000"/>
          <w:sz w:val="28"/>
        </w:rPr>
        <w:t>39-3-баптарына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Железин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шешімінің қосымшасына сәйкес Железин ауданында қоса берiлiп отырған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w:t>
            </w:r>
            <w:r>
              <w:br/>
            </w:r>
            <w:r>
              <w:rPr>
                <w:rFonts w:ascii="Times New Roman"/>
                <w:b w:val="false"/>
                <w:i w:val="false"/>
                <w:color w:val="000000"/>
                <w:sz w:val="20"/>
              </w:rPr>
              <w:t>20 __жылғы "____"______</w:t>
            </w:r>
            <w:r>
              <w:br/>
            </w:r>
            <w:r>
              <w:rPr>
                <w:rFonts w:ascii="Times New Roman"/>
                <w:b w:val="false"/>
                <w:i w:val="false"/>
                <w:color w:val="000000"/>
                <w:sz w:val="20"/>
              </w:rPr>
              <w:t>№____шешіміне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Железин ауданында жергілікті қоғамдастықтың бөлек жиындарын өткізудің қағидалары</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аудандық маңызы бар қала, ауыл, кент, ауылдық округ тұрғындарының жергілікті қоғамдастықтың бөлек жиындарын өткізудің тәртібін белгілейді.</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8" w:id="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6"/>
    <w:bookmarkStart w:name="z9"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7"/>
    <w:bookmarkStart w:name="z10"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1" w:id="9"/>
    <w:p>
      <w:pPr>
        <w:spacing w:after="0"/>
        <w:ind w:left="0"/>
        <w:jc w:val="both"/>
      </w:pPr>
      <w:r>
        <w:rPr>
          <w:rFonts w:ascii="Times New Roman"/>
          <w:b w:val="false"/>
          <w:i w:val="false"/>
          <w:color w:val="000000"/>
          <w:sz w:val="28"/>
        </w:rPr>
        <w:t>
      5. Аудандық маңызы бар қаланың,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9"/>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2" w:id="1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0"/>
    <w:bookmarkStart w:name="z13" w:id="11"/>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4" w:id="12"/>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bookmarkEnd w:id="12"/>
    <w:p>
      <w:pPr>
        <w:spacing w:after="0"/>
        <w:ind w:left="0"/>
        <w:jc w:val="both"/>
      </w:pPr>
      <w:r>
        <w:rPr>
          <w:rFonts w:ascii="Times New Roman"/>
          <w:b w:val="false"/>
          <w:i w:val="false"/>
          <w:color w:val="000000"/>
          <w:sz w:val="28"/>
        </w:rPr>
        <w:t>
      Аудандық маңызы барқаланың, ауылдық округтің әкімі немесе олу 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Жергіліктіқоғамдастықтыңбөлекжиынындахаттамажүргізіледі, жергіліктіқоғамдастықтыңбөлекжиыныныңхаттамасынресімдеуүшінашықдауысберуарқылыхатшысайланады.</w:t>
      </w:r>
    </w:p>
    <w:bookmarkStart w:name="z15" w:id="13"/>
    <w:p>
      <w:pPr>
        <w:spacing w:after="0"/>
        <w:ind w:left="0"/>
        <w:jc w:val="both"/>
      </w:pPr>
      <w:r>
        <w:rPr>
          <w:rFonts w:ascii="Times New Roman"/>
          <w:b w:val="false"/>
          <w:i w:val="false"/>
          <w:color w:val="000000"/>
          <w:sz w:val="28"/>
        </w:rPr>
        <w:t>
      9. Жергілікті қоғамдастық жиынына қатысу үшін ауыл, шағынаудан, көше, көп пәтерлі тұрғын үй тұрғындары өкілдерінің кандидатураларын 100 тұрғыннан 1 өкілсандық құрамда бөлек жергілікті қоғамдастық жиынының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ауыл, шағынаудан, көше, көп пәтерлі тұрғын үй тұрғындары өкілдерінің саны ауыл, шағынаудан, көше, көппәтерлі тұрғын үй тұрғындарына тең өкілдік ету қағидаты негізінде айқындалады.</w:t>
      </w:r>
    </w:p>
    <w:bookmarkStart w:name="z16" w:id="14"/>
    <w:p>
      <w:pPr>
        <w:spacing w:after="0"/>
        <w:ind w:left="0"/>
        <w:jc w:val="both"/>
      </w:pPr>
      <w:r>
        <w:rPr>
          <w:rFonts w:ascii="Times New Roman"/>
          <w:b w:val="false"/>
          <w:i w:val="false"/>
          <w:color w:val="000000"/>
          <w:sz w:val="28"/>
        </w:rPr>
        <w:t>
      10. Дауыс беруашық тәсіл мен әр 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7" w:id="15"/>
    <w:p>
      <w:pPr>
        <w:spacing w:after="0"/>
        <w:ind w:left="0"/>
        <w:jc w:val="both"/>
      </w:pPr>
      <w:r>
        <w:rPr>
          <w:rFonts w:ascii="Times New Roman"/>
          <w:b w:val="false"/>
          <w:i w:val="false"/>
          <w:color w:val="000000"/>
          <w:sz w:val="28"/>
        </w:rPr>
        <w:t>
      11. Жергілікті қоғамдастықтың бөлек жиынының хаттамасына төрағамен хатшы қолқояды және бөлек жиын өткізілген күннен бастап екі жұмыс күні ішінде жиын хатшысы тіркеу үшін тиісті аудандық маңызы барқала, ауылдық округ әкімінің аппаратына береді. Жергілікті қоғамдастық жиынында немесе жергілікті қоғамдастық жиналысында хаттама жүргізіледі, онда:</w:t>
      </w:r>
    </w:p>
    <w:bookmarkEnd w:id="1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жалпысаны;</w:t>
      </w:r>
    </w:p>
    <w:p>
      <w:pPr>
        <w:spacing w:after="0"/>
        <w:ind w:left="0"/>
        <w:jc w:val="both"/>
      </w:pPr>
      <w:r>
        <w:rPr>
          <w:rFonts w:ascii="Times New Roman"/>
          <w:b w:val="false"/>
          <w:i w:val="false"/>
          <w:color w:val="000000"/>
          <w:sz w:val="28"/>
        </w:rPr>
        <w:t>
      3) қатысушылардың саны және олар дыңтегі,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төрағасымен хатшысының тегі, аты, әкесінің аты (ол болған жағдайда);</w:t>
      </w:r>
    </w:p>
    <w:p>
      <w:pPr>
        <w:spacing w:after="0"/>
        <w:ind w:left="0"/>
        <w:jc w:val="both"/>
      </w:pPr>
      <w:r>
        <w:rPr>
          <w:rFonts w:ascii="Times New Roman"/>
          <w:b w:val="false"/>
          <w:i w:val="false"/>
          <w:color w:val="000000"/>
          <w:sz w:val="28"/>
        </w:rPr>
        <w:t>
      5) күнтәртібі,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