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390a" w14:textId="9f43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әкімдігінің регламентiн бекіту туралы</w:t>
      </w:r>
    </w:p>
    <w:p>
      <w:pPr>
        <w:spacing w:after="0"/>
        <w:ind w:left="0"/>
        <w:jc w:val="both"/>
      </w:pPr>
      <w:r>
        <w:rPr>
          <w:rFonts w:ascii="Times New Roman"/>
          <w:b w:val="false"/>
          <w:i w:val="false"/>
          <w:color w:val="000000"/>
          <w:sz w:val="28"/>
        </w:rPr>
        <w:t>Павлодар облысы Тереңкөл ауданы әкімдігінің 2023 жылғы 27 қыркүйектегі № 257/1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 123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берілген Тереңкөл ауданы әкімдігінің регламентi бекітілсін.</w:t>
      </w:r>
    </w:p>
    <w:bookmarkEnd w:id="1"/>
    <w:bookmarkStart w:name="z3" w:id="2"/>
    <w:p>
      <w:pPr>
        <w:spacing w:after="0"/>
        <w:ind w:left="0"/>
        <w:jc w:val="both"/>
      </w:pPr>
      <w:r>
        <w:rPr>
          <w:rFonts w:ascii="Times New Roman"/>
          <w:b w:val="false"/>
          <w:i w:val="false"/>
          <w:color w:val="000000"/>
          <w:sz w:val="28"/>
        </w:rPr>
        <w:t>
      2. "Тереңкөл ауданы әкімінің аппараты" мемлекеттік мекемесі заңнамамен белгіленген тәртіпте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2023 жылғы 27 қыркүйектегі</w:t>
            </w:r>
            <w:r>
              <w:br/>
            </w:r>
            <w:r>
              <w:rPr>
                <w:rFonts w:ascii="Times New Roman"/>
                <w:b w:val="false"/>
                <w:i w:val="false"/>
                <w:color w:val="000000"/>
                <w:sz w:val="20"/>
              </w:rPr>
              <w:t>№ 257/1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Тереңкөл ауданы әкімдігінің регламентi</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Тереңкөл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 123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аудандың әкімдіктері (бұдан әрі – әкімдік) отырыстарын дайындау және өткізу, аудандың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әкімдіктерінің және әкімдерінің актілері мен тапсырмаларының орындалуын ұйымдастыру тәртібін белгілейді.</w:t>
      </w:r>
    </w:p>
    <w:bookmarkEnd w:id="7"/>
    <w:bookmarkStart w:name="z10"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8"/>
    <w:bookmarkStart w:name="z11" w:id="9"/>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9"/>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bookmarkStart w:name="z12" w:id="10"/>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0"/>
    <w:bookmarkStart w:name="z13"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End w:id="11"/>
    <w:bookmarkStart w:name="z14" w:id="12"/>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End w:id="12"/>
    <w:bookmarkStart w:name="z15"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3"/>
    <w:bookmarkStart w:name="z16" w:id="14"/>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4"/>
    <w:bookmarkStart w:name="z17" w:id="15"/>
    <w:p>
      <w:pPr>
        <w:spacing w:after="0"/>
        <w:ind w:left="0"/>
        <w:jc w:val="left"/>
      </w:pPr>
      <w:r>
        <w:rPr>
          <w:rFonts w:ascii="Times New Roman"/>
          <w:b/>
          <w:i w:val="false"/>
          <w:color w:val="000000"/>
        </w:rPr>
        <w:t xml:space="preserve"> 2-тарау. Жұмысты жоспарлау</w:t>
      </w:r>
    </w:p>
    <w:bookmarkEnd w:id="15"/>
    <w:bookmarkStart w:name="z18"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19" w:id="17"/>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17"/>
    <w:bookmarkStart w:name="z20" w:id="18"/>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8"/>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1" w:id="19"/>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9"/>
    <w:bookmarkStart w:name="z22" w:id="20"/>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0"/>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23" w:id="21"/>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1"/>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4" w:id="22"/>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2"/>
    <w:bookmarkStart w:name="z25" w:id="23"/>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26" w:id="24"/>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24"/>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7" w:id="25"/>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5"/>
    <w:bookmarkStart w:name="z28" w:id="26"/>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26"/>
    <w:bookmarkStart w:name="z29" w:id="27"/>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27"/>
    <w:bookmarkStart w:name="z30" w:id="28"/>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8"/>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31" w:id="29"/>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29"/>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32" w:id="30"/>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30"/>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3" w:id="31"/>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31"/>
    <w:bookmarkStart w:name="z34" w:id="32"/>
    <w:p>
      <w:pPr>
        <w:spacing w:after="0"/>
        <w:ind w:left="0"/>
        <w:jc w:val="both"/>
      </w:pPr>
      <w:r>
        <w:rPr>
          <w:rFonts w:ascii="Times New Roman"/>
          <w:b w:val="false"/>
          <w:i w:val="false"/>
          <w:color w:val="000000"/>
          <w:sz w:val="28"/>
        </w:rPr>
        <w:t>
      23. Жобалар:</w:t>
      </w:r>
    </w:p>
    <w:bookmarkEnd w:id="32"/>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Start w:name="z35" w:id="33"/>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3"/>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6" w:id="34"/>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34"/>
    <w:bookmarkStart w:name="z37" w:id="35"/>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5"/>
    <w:bookmarkStart w:name="z38" w:id="36"/>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36"/>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39" w:id="37"/>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37"/>
    <w:bookmarkStart w:name="z40" w:id="38"/>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8"/>
    <w:bookmarkStart w:name="z41" w:id="39"/>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39"/>
    <w:bookmarkStart w:name="z42" w:id="40"/>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bookmarkEnd w:id="40"/>
    <w:bookmarkStart w:name="z43" w:id="41"/>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42"/>
    <w:bookmarkStart w:name="z45" w:id="43"/>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3"/>
    <w:bookmarkStart w:name="z46" w:id="44"/>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44"/>
    <w:bookmarkStart w:name="z47" w:id="45"/>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45"/>
    <w:bookmarkStart w:name="z48" w:id="46"/>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6"/>
    <w:bookmarkStart w:name="z49" w:id="47"/>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7"/>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50" w:id="48"/>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8"/>
    <w:bookmarkStart w:name="z51" w:id="49"/>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