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f0ff" w14:textId="b50f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2022 жылғы 23 желтоқсандағы "2023 жылға арналған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туралы" № 133/38 шешіміне өзгеріс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2023 жылғы 8 қарашадағы № 36/12 шешімі</w:t>
      </w:r>
    </w:p>
    <w:p>
      <w:pPr>
        <w:spacing w:after="0"/>
        <w:ind w:left="0"/>
        <w:jc w:val="both"/>
      </w:pPr>
      <w:bookmarkStart w:name="z1" w:id="0"/>
      <w:r>
        <w:rPr>
          <w:rFonts w:ascii="Times New Roman"/>
          <w:b w:val="false"/>
          <w:i w:val="false"/>
          <w:color w:val="000000"/>
          <w:sz w:val="28"/>
        </w:rPr>
        <w:t>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2022 жылғы 2023 желтоқсандағы "2023 жылға арналған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туралы" № 133/38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аудандық мәслихаты ШЕШІМ ҚАБЫЛДАДЫ:".</w:t>
      </w:r>
    </w:p>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