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2a8c" w14:textId="5b62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сондай-ақ өтініш берушінің материалдық жағдайын тексеру нәтижелері бойынша мемлекеттік атаулы әлеуметтік көмекке мұқтаждықты айқындау өлшемшарттарын бекіту туралы</w:t>
      </w:r>
    </w:p>
    <w:p>
      <w:pPr>
        <w:spacing w:after="0"/>
        <w:ind w:left="0"/>
        <w:jc w:val="both"/>
      </w:pPr>
      <w:r>
        <w:rPr>
          <w:rFonts w:ascii="Times New Roman"/>
          <w:b w:val="false"/>
          <w:i w:val="false"/>
          <w:color w:val="000000"/>
          <w:sz w:val="28"/>
        </w:rPr>
        <w:t>Солтүстік Қазақстан облысы әкімдігінің 2023 жылғы 24 тамыздағы № 137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Әлеуметтік кодексінің 124-бабы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Учаскелік комиссиялар туралы ереже;</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нәтижелері бойынша мемлекеттік атаулы әлеуметтік көмекке мұқтаждықты айқындау өлшемшарттары.</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2023 жылғы 1 шілдеден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қаулысына 1-қосымша</w:t>
            </w:r>
          </w:p>
        </w:tc>
      </w:tr>
    </w:tbl>
    <w:bookmarkStart w:name="z14" w:id="6"/>
    <w:p>
      <w:pPr>
        <w:spacing w:after="0"/>
        <w:ind w:left="0"/>
        <w:jc w:val="left"/>
      </w:pPr>
      <w:r>
        <w:rPr>
          <w:rFonts w:ascii="Times New Roman"/>
          <w:b/>
          <w:i w:val="false"/>
          <w:color w:val="000000"/>
        </w:rPr>
        <w:t xml:space="preserve"> Учаскелік комиссиялар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Осы Учаскелік комиссиялар туралы ереже (бұдан әрі – Ереже) Қазақстан Республикасы Әлеуметтік кодексінің 124-бабы 3-тармағының екінші бөлігіне және Қазақстан Республикасы Әлеуметтік кодексінің 11-бабының 17) тармақшасына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учаскелік комиссиялардың мәртебесі мен өкілеттігін айқындайды.</w:t>
      </w:r>
    </w:p>
    <w:bookmarkEnd w:id="8"/>
    <w:bookmarkStart w:name="z17" w:id="9"/>
    <w:p>
      <w:pPr>
        <w:spacing w:after="0"/>
        <w:ind w:left="0"/>
        <w:jc w:val="both"/>
      </w:pPr>
      <w:r>
        <w:rPr>
          <w:rFonts w:ascii="Times New Roman"/>
          <w:b w:val="false"/>
          <w:i w:val="false"/>
          <w:color w:val="000000"/>
          <w:sz w:val="28"/>
        </w:rPr>
        <w:t>
      2. Осы Ережеде пайдаланылатын негізгі ұғымдар:</w:t>
      </w:r>
    </w:p>
    <w:bookmarkEnd w:id="9"/>
    <w:bookmarkStart w:name="z18" w:id="10"/>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маңызы бар қалада орындауды жүзеге асыратын филиалы;</w:t>
      </w:r>
    </w:p>
    <w:bookmarkEnd w:id="10"/>
    <w:bookmarkStart w:name="z19" w:id="11"/>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атаулы әлеуметтік көмек тағайындауды жүзеге асыратын ауданның, облыстық маңызы бар қаланың, аудандық маңызы бар қаланың жергілікті атқарушы органы;</w:t>
      </w:r>
    </w:p>
    <w:bookmarkEnd w:id="11"/>
    <w:bookmarkStart w:name="z20" w:id="12"/>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2"/>
    <w:bookmarkStart w:name="z21" w:id="13"/>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17) тармақшасына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 зерттеп-қарайды. </w:t>
      </w:r>
    </w:p>
    <w:bookmarkEnd w:id="13"/>
    <w:bookmarkStart w:name="z22" w:id="14"/>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4"/>
    <w:bookmarkStart w:name="z23" w:id="15"/>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15"/>
    <w:bookmarkStart w:name="z24" w:id="16"/>
    <w:p>
      <w:pPr>
        <w:spacing w:after="0"/>
        <w:ind w:left="0"/>
        <w:jc w:val="left"/>
      </w:pPr>
      <w:r>
        <w:rPr>
          <w:rFonts w:ascii="Times New Roman"/>
          <w:b/>
          <w:i w:val="false"/>
          <w:color w:val="000000"/>
        </w:rPr>
        <w:t xml:space="preserve"> 2. Комиссиялардың міндеттері мен функциялары</w:t>
      </w:r>
    </w:p>
    <w:bookmarkEnd w:id="16"/>
    <w:bookmarkStart w:name="z25" w:id="17"/>
    <w:p>
      <w:pPr>
        <w:spacing w:after="0"/>
        <w:ind w:left="0"/>
        <w:jc w:val="both"/>
      </w:pPr>
      <w:r>
        <w:rPr>
          <w:rFonts w:ascii="Times New Roman"/>
          <w:b w:val="false"/>
          <w:i w:val="false"/>
          <w:color w:val="000000"/>
          <w:sz w:val="28"/>
        </w:rPr>
        <w:t>
      5. Комиссиялардың негізгі міндеті мемлекеттік атаулы әлеуметтік көмек тағайындау жөніндегі уәкілетті органға, ал ауылдық жерлерде –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2-3-тармағына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7"/>
    <w:bookmarkStart w:name="z26" w:id="18"/>
    <w:p>
      <w:pPr>
        <w:spacing w:after="0"/>
        <w:ind w:left="0"/>
        <w:jc w:val="both"/>
      </w:pPr>
      <w:r>
        <w:rPr>
          <w:rFonts w:ascii="Times New Roman"/>
          <w:b w:val="false"/>
          <w:i w:val="false"/>
          <w:color w:val="000000"/>
          <w:sz w:val="28"/>
        </w:rPr>
        <w:t>
      6. Комиссияның негізгі функцияларына:</w:t>
      </w:r>
    </w:p>
    <w:bookmarkEnd w:id="18"/>
    <w:bookmarkStart w:name="z27" w:id="19"/>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bookmarkEnd w:id="19"/>
    <w:bookmarkStart w:name="z28" w:id="20"/>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bookmarkEnd w:id="20"/>
    <w:bookmarkStart w:name="z29" w:id="21"/>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bookmarkEnd w:id="21"/>
    <w:bookmarkStart w:name="z30" w:id="22"/>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22"/>
    <w:bookmarkStart w:name="z31" w:id="23"/>
    <w:p>
      <w:pPr>
        <w:spacing w:after="0"/>
        <w:ind w:left="0"/>
        <w:jc w:val="left"/>
      </w:pPr>
      <w:r>
        <w:rPr>
          <w:rFonts w:ascii="Times New Roman"/>
          <w:b/>
          <w:i w:val="false"/>
          <w:color w:val="000000"/>
        </w:rPr>
        <w:t xml:space="preserve"> 3. Комиссияның қызметін ұйымдастыру</w:t>
      </w:r>
    </w:p>
    <w:bookmarkEnd w:id="23"/>
    <w:bookmarkStart w:name="z32" w:id="24"/>
    <w:p>
      <w:pPr>
        <w:spacing w:after="0"/>
        <w:ind w:left="0"/>
        <w:jc w:val="both"/>
      </w:pPr>
      <w:r>
        <w:rPr>
          <w:rFonts w:ascii="Times New Roman"/>
          <w:b w:val="false"/>
          <w:i w:val="false"/>
          <w:color w:val="000000"/>
          <w:sz w:val="28"/>
        </w:rPr>
        <w:t>
      7. Комиссиялар туралы осы ереже Үлгілік ереженің негізінде әзірленеді, жергілікті өкілдік органдармен келісіледі.</w:t>
      </w:r>
    </w:p>
    <w:bookmarkEnd w:id="24"/>
    <w:bookmarkStart w:name="z33" w:id="25"/>
    <w:p>
      <w:pPr>
        <w:spacing w:after="0"/>
        <w:ind w:left="0"/>
        <w:jc w:val="both"/>
      </w:pPr>
      <w:r>
        <w:rPr>
          <w:rFonts w:ascii="Times New Roman"/>
          <w:b w:val="false"/>
          <w:i w:val="false"/>
          <w:color w:val="000000"/>
          <w:sz w:val="28"/>
        </w:rPr>
        <w:t>
      8. Атаулы әлеуметтік көмекті тағайындау жөніндегі уәкілетті орган, ал ауылдық жерлерде – ауыл, ауылдық округтің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25"/>
    <w:bookmarkStart w:name="z34" w:id="26"/>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 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26"/>
    <w:bookmarkStart w:name="z35" w:id="2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End w:id="27"/>
    <w:bookmarkStart w:name="z36" w:id="28"/>
    <w:p>
      <w:pPr>
        <w:spacing w:after="0"/>
        <w:ind w:left="0"/>
        <w:jc w:val="both"/>
      </w:pPr>
      <w:r>
        <w:rPr>
          <w:rFonts w:ascii="Times New Roman"/>
          <w:b w:val="false"/>
          <w:i w:val="false"/>
          <w:color w:val="000000"/>
          <w:sz w:val="28"/>
        </w:rPr>
        <w:t>
      10. Төраға Комиссияның жұмысын ұйымдастырады және Комиссияның осы Ережеде жүктелген міндеттер мен функцияларды уақытылы және сапалы орындауын қамтамасыз етеді.</w:t>
      </w:r>
    </w:p>
    <w:bookmarkEnd w:id="28"/>
    <w:bookmarkStart w:name="z37" w:id="29"/>
    <w:p>
      <w:pPr>
        <w:spacing w:after="0"/>
        <w:ind w:left="0"/>
        <w:jc w:val="both"/>
      </w:pPr>
      <w:r>
        <w:rPr>
          <w:rFonts w:ascii="Times New Roman"/>
          <w:b w:val="false"/>
          <w:i w:val="false"/>
          <w:color w:val="000000"/>
          <w:sz w:val="28"/>
        </w:rPr>
        <w:t>
      11.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29"/>
    <w:bookmarkStart w:name="z38" w:id="30"/>
    <w:p>
      <w:pPr>
        <w:spacing w:after="0"/>
        <w:ind w:left="0"/>
        <w:jc w:val="both"/>
      </w:pPr>
      <w:r>
        <w:rPr>
          <w:rFonts w:ascii="Times New Roman"/>
          <w:b w:val="false"/>
          <w:i w:val="false"/>
          <w:color w:val="000000"/>
          <w:sz w:val="28"/>
        </w:rPr>
        <w:t>
      12. Өтініш беруші қалауы бойынша Комиссияның отырысына қатыса алады.</w:t>
      </w:r>
    </w:p>
    <w:bookmarkEnd w:id="30"/>
    <w:bookmarkStart w:name="z39" w:id="31"/>
    <w:p>
      <w:pPr>
        <w:spacing w:after="0"/>
        <w:ind w:left="0"/>
        <w:jc w:val="both"/>
      </w:pPr>
      <w:r>
        <w:rPr>
          <w:rFonts w:ascii="Times New Roman"/>
          <w:b w:val="false"/>
          <w:i w:val="false"/>
          <w:color w:val="000000"/>
          <w:sz w:val="28"/>
        </w:rPr>
        <w:t>
      13. Комиссия:</w:t>
      </w:r>
    </w:p>
    <w:bookmarkEnd w:id="31"/>
    <w:bookmarkStart w:name="z40" w:id="32"/>
    <w:p>
      <w:pPr>
        <w:spacing w:after="0"/>
        <w:ind w:left="0"/>
        <w:jc w:val="both"/>
      </w:pPr>
      <w:r>
        <w:rPr>
          <w:rFonts w:ascii="Times New Roman"/>
          <w:b w:val="false"/>
          <w:i w:val="false"/>
          <w:color w:val="000000"/>
          <w:sz w:val="28"/>
        </w:rPr>
        <w:t>
      мансап орталығынан немесе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ауыл, ауылдық округ әкіміне береді;</w:t>
      </w:r>
    </w:p>
    <w:bookmarkEnd w:id="32"/>
    <w:bookmarkStart w:name="z41" w:id="33"/>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ауыл, ауылдық округтің әкіміне жібереді.</w:t>
      </w:r>
    </w:p>
    <w:bookmarkEnd w:id="33"/>
    <w:bookmarkStart w:name="z42" w:id="34"/>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34"/>
    <w:bookmarkStart w:name="z43" w:id="35"/>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5"/>
    <w:bookmarkStart w:name="z44" w:id="36"/>
    <w:p>
      <w:pPr>
        <w:spacing w:after="0"/>
        <w:ind w:left="0"/>
        <w:jc w:val="both"/>
      </w:pPr>
      <w:r>
        <w:rPr>
          <w:rFonts w:ascii="Times New Roman"/>
          <w:b w:val="false"/>
          <w:i w:val="false"/>
          <w:color w:val="000000"/>
          <w:sz w:val="28"/>
        </w:rPr>
        <w:t>
      16. Комиссия қабылдаған шешім қорытынды түрінде ресімделеді, өтініш беруші онымен танысып, қол қояды.</w:t>
      </w:r>
    </w:p>
    <w:bookmarkEnd w:id="36"/>
    <w:bookmarkStart w:name="z45" w:id="37"/>
    <w:p>
      <w:pPr>
        <w:spacing w:after="0"/>
        <w:ind w:left="0"/>
        <w:jc w:val="both"/>
      </w:pPr>
      <w:r>
        <w:rPr>
          <w:rFonts w:ascii="Times New Roman"/>
          <w:b w:val="false"/>
          <w:i w:val="false"/>
          <w:color w:val="000000"/>
          <w:sz w:val="28"/>
        </w:rPr>
        <w:t>
      17. Комиссияның қорытындысына келіспеген кезде, өтініш беруші уәкілетті органға, сондай-ақ сот тәртібімен шағым жасайды.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2023 жылғы 24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қаулысына 2-қосымша</w:t>
            </w:r>
          </w:p>
        </w:tc>
      </w:tr>
    </w:tbl>
    <w:bookmarkStart w:name="z49" w:id="38"/>
    <w:p>
      <w:pPr>
        <w:spacing w:after="0"/>
        <w:ind w:left="0"/>
        <w:jc w:val="left"/>
      </w:pPr>
      <w:r>
        <w:rPr>
          <w:rFonts w:ascii="Times New Roman"/>
          <w:b/>
          <w:i w:val="false"/>
          <w:color w:val="000000"/>
        </w:rPr>
        <w:t xml:space="preserve"> Өтініш берушінің материалдық жағдайын тексеру нәтижелері бойынша мемлекеттік атаулы әлеуметтік көмекке мұқтаждықты айқындау өлшемшарттары</w:t>
      </w:r>
    </w:p>
    <w:bookmarkEnd w:id="38"/>
    <w:bookmarkStart w:name="z50" w:id="39"/>
    <w:p>
      <w:pPr>
        <w:spacing w:after="0"/>
        <w:ind w:left="0"/>
        <w:jc w:val="both"/>
      </w:pPr>
      <w:r>
        <w:rPr>
          <w:rFonts w:ascii="Times New Roman"/>
          <w:b w:val="false"/>
          <w:i w:val="false"/>
          <w:color w:val="000000"/>
          <w:sz w:val="28"/>
        </w:rPr>
        <w:t>
      1. Мыналар мемлекеттік атаулы әлеуметтік көмекке мұқтаждықты айқындау өлшемшарттары болып табылады:</w:t>
      </w:r>
    </w:p>
    <w:bookmarkEnd w:id="39"/>
    <w:bookmarkStart w:name="z51" w:id="40"/>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азаматтығының, қандас, босқын, шетелдік және Қазақстан Республикасында тұрақты тұратын, азаматтығы жоқ адам мәртебесінің болуы;</w:t>
      </w:r>
    </w:p>
    <w:bookmarkEnd w:id="40"/>
    <w:bookmarkStart w:name="z52" w:id="41"/>
    <w:p>
      <w:pPr>
        <w:spacing w:after="0"/>
        <w:ind w:left="0"/>
        <w:jc w:val="both"/>
      </w:pPr>
      <w:r>
        <w:rPr>
          <w:rFonts w:ascii="Times New Roman"/>
          <w:b w:val="false"/>
          <w:i w:val="false"/>
          <w:color w:val="000000"/>
          <w:sz w:val="28"/>
        </w:rPr>
        <w:t>
      2) Қазақстан Республикасы Премьер-Министрінің орынбасары-Еңбек және халықты әлеуметтік қорғау министрінің 2023 жылғы 21 маусымдағы № 227 бұйрығымен бекітілген Мемлекеттік атаулы әлеуметтік көмекті тағайындау және төлеу қағидаларының 7-тармағында қарастырылған мансап орталығы немесе ауыл, ауылдық округ әкімі растаған мәліметтердің болуы;</w:t>
      </w:r>
    </w:p>
    <w:bookmarkEnd w:id="41"/>
    <w:bookmarkStart w:name="z53" w:id="42"/>
    <w:p>
      <w:pPr>
        <w:spacing w:after="0"/>
        <w:ind w:left="0"/>
        <w:jc w:val="both"/>
      </w:pPr>
      <w:r>
        <w:rPr>
          <w:rFonts w:ascii="Times New Roman"/>
          <w:b w:val="false"/>
          <w:i w:val="false"/>
          <w:color w:val="000000"/>
          <w:sz w:val="28"/>
        </w:rPr>
        <w:t>
      3) өтініш берушінің материалдық жағдайын зерттеп-қарау қорытындысы бойынша дайындалған учаскелік комиссияның атаулы әлеуметтік көмек беру қажеттігі туралы қорытындысының болуы.</w:t>
      </w:r>
    </w:p>
    <w:bookmarkEnd w:id="42"/>
    <w:bookmarkStart w:name="z54" w:id="43"/>
    <w:p>
      <w:pPr>
        <w:spacing w:after="0"/>
        <w:ind w:left="0"/>
        <w:jc w:val="both"/>
      </w:pPr>
      <w:r>
        <w:rPr>
          <w:rFonts w:ascii="Times New Roman"/>
          <w:b w:val="false"/>
          <w:i w:val="false"/>
          <w:color w:val="000000"/>
          <w:sz w:val="28"/>
        </w:rPr>
        <w:t>
      2. Мынадай өлшемшарттардың бірі учаскелік комиссияның өтініш берушіге және (немесе) Қазақстан Республикасы Әлеуметтік кодексінің 120-бабы 1-тармағының талаптарына сәйкес келетін адамдарға атаулы әлеуметтік көмек беруге қажеттіліктің болмауы туралы қорытынды шығаруы үшін негіз болып табылады:</w:t>
      </w:r>
    </w:p>
    <w:bookmarkEnd w:id="43"/>
    <w:bookmarkStart w:name="z55" w:id="44"/>
    <w:p>
      <w:pPr>
        <w:spacing w:after="0"/>
        <w:ind w:left="0"/>
        <w:jc w:val="both"/>
      </w:pPr>
      <w:r>
        <w:rPr>
          <w:rFonts w:ascii="Times New Roman"/>
          <w:b w:val="false"/>
          <w:i w:val="false"/>
          <w:color w:val="000000"/>
          <w:sz w:val="28"/>
        </w:rPr>
        <w:t>
      1) барлық тұрғынжайдың жалпы пайдалы алаңы отбасының бір мүшесіне 18 шаршы метрден аспайтын жағдайларды, сондай-ақ тиісті актімен расталатын авариялық жағдайдағы тұрғын үйлерді қоспағанда, өтініш берушінің өзінің (өздерінің) меншік құқығына тиесілі, оның ішінде атаулы әлеуметтік көмекті тағайындауға жүгінгенге дейін соңғы бес жыл ішінде иеліктен шығару жүргізілген, тұруға жарамды оған (оларға) меншік құқығымен тиесілі біреуден көп тұрғынжайдың болуы;</w:t>
      </w:r>
    </w:p>
    <w:bookmarkEnd w:id="44"/>
    <w:bookmarkStart w:name="z56" w:id="45"/>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қолданылатын жеке үй-жайдың болуы;</w:t>
      </w:r>
    </w:p>
    <w:bookmarkEnd w:id="45"/>
    <w:bookmarkStart w:name="z57" w:id="46"/>
    <w:p>
      <w:pPr>
        <w:spacing w:after="0"/>
        <w:ind w:left="0"/>
        <w:jc w:val="both"/>
      </w:pPr>
      <w:r>
        <w:rPr>
          <w:rFonts w:ascii="Times New Roman"/>
          <w:b w:val="false"/>
          <w:i w:val="false"/>
          <w:color w:val="000000"/>
          <w:sz w:val="28"/>
        </w:rPr>
        <w:t>
      3) жергілікті атқарушы органдардың жеке меншікке жер учаскесін ақысыз түрде беруі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учаскесінің бар болуы;</w:t>
      </w:r>
    </w:p>
    <w:bookmarkEnd w:id="46"/>
    <w:bookmarkStart w:name="z58" w:id="47"/>
    <w:p>
      <w:pPr>
        <w:spacing w:after="0"/>
        <w:ind w:left="0"/>
        <w:jc w:val="both"/>
      </w:pPr>
      <w:r>
        <w:rPr>
          <w:rFonts w:ascii="Times New Roman"/>
          <w:b w:val="false"/>
          <w:i w:val="false"/>
          <w:color w:val="000000"/>
          <w:sz w:val="28"/>
        </w:rPr>
        <w:t>
      4) көп балалы отбасыларды және мүгедектігі бар балалар, бірінші және екінші топтағы мүгедектігі бар адамдары бар отбасыларды қоспағанда, оның (олардың) жеке меншігінде және (немесе) уақытша иелігінде, қолданысында біреуден астам жеңіл автокөлігі бар болуы;</w:t>
      </w:r>
    </w:p>
    <w:bookmarkEnd w:id="47"/>
    <w:bookmarkStart w:name="z59" w:id="48"/>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шаруашылығы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болуы.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