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20b6" w14:textId="5062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Амангелді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10 мая 2023 года № 4/56.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29/173 (нормативтік құқықтық актілерді мемлекеттік тіркеу тізілімінде № 2724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w:t>
      </w:r>
      <w:r>
        <w:rPr>
          <w:rFonts w:ascii="Times New Roman"/>
          <w:b w:val="false"/>
          <w:i w:val="false"/>
          <w:color w:val="000000"/>
          <w:sz w:val="28"/>
        </w:rPr>
        <w:t xml:space="preserve"> аталған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10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4/56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Солтүстік Қазақстан облысы Есіл ауданы Амангелді ауылдық округінің жергілікті қоғамдастық жиынына қатысу үшін ауыл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w:t>
            </w:r>
          </w:p>
          <w:bookmarkEnd w:id="5"/>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Амангелді ауылының тұрғындары үшін</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Құрылыс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Мир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Н.Махин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Ыбыраев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Восточная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Целинная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Береговая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Абай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Сәбит Мұқанов көшесі </w:t>
            </w:r>
          </w:p>
          <w:p>
            <w:pPr>
              <w:spacing w:after="20"/>
              <w:ind w:left="20"/>
              <w:jc w:val="both"/>
            </w:pPr>
            <w:r>
              <w:rPr>
                <w:rFonts w:ascii="Times New Roman"/>
                <w:b w:val="false"/>
                <w:i w:val="false"/>
                <w:color w:val="000000"/>
                <w:sz w:val="20"/>
              </w:rPr>
              <w:t xml:space="preserve">
Садовая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
3</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Поляковка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Талапкер ауылының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