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83a0" w14:textId="fa08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оқу жылына техникалық және кәсіптік, орта білімнен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Түркістан облысы әкiмдiгiнiң 2023 жылғы 15 тамыздағы № 157 қаулысы</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6-бабы 2-тармағының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Түркістан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2023-2024 оқу жылына техникалық және кәсіптік, орта білімнен кейінгі білімі бар кадрларды даярлауға арналған мемлекеттік білім беру тапсырысы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адами әлеуетті дамыту басқармасы" мемлекеттік мекемесі:</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әкiмiнiң орынбасарына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15 тамыздағы</w:t>
            </w:r>
            <w:r>
              <w:br/>
            </w:r>
            <w:r>
              <w:rPr>
                <w:rFonts w:ascii="Times New Roman"/>
                <w:b w:val="false"/>
                <w:i w:val="false"/>
                <w:color w:val="000000"/>
                <w:sz w:val="20"/>
              </w:rPr>
              <w:t>№ 157 қаулысына қосымша</w:t>
            </w:r>
          </w:p>
        </w:tc>
      </w:tr>
    </w:tbl>
    <w:p>
      <w:pPr>
        <w:spacing w:after="0"/>
        <w:ind w:left="0"/>
        <w:jc w:val="left"/>
      </w:pPr>
      <w:r>
        <w:rPr>
          <w:rFonts w:ascii="Times New Roman"/>
          <w:b/>
          <w:i w:val="false"/>
          <w:color w:val="000000"/>
        </w:rPr>
        <w:t xml:space="preserve"> 2023-2024 оқу жылына техникалық және кәсіптік, орта білімнен кейінгі білімі бар кадрларды даярлауға арналған мемлекеттік білім беру тапсырысы</w:t>
      </w:r>
    </w:p>
    <w:p>
      <w:pPr>
        <w:spacing w:after="0"/>
        <w:ind w:left="0"/>
        <w:jc w:val="both"/>
      </w:pPr>
      <w:r>
        <w:rPr>
          <w:rFonts w:ascii="Times New Roman"/>
          <w:b w:val="false"/>
          <w:i w:val="false"/>
          <w:color w:val="ff0000"/>
          <w:sz w:val="28"/>
        </w:rPr>
        <w:t xml:space="preserve">
      Ескерту. Қосымша жаңа редакцияда -Түркістан облысы әкiмдiгiнiң 19.12.2023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мен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 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бір маманды оқытуға жұмсалатын шығыстардың орташа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дағдарыс жағдайына жақындаған аймақта бір айда бір маманды оқытуға жұмсалатын шығыстардың орташа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Білім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p>
          <w:p>
            <w:pPr>
              <w:spacing w:after="20"/>
              <w:ind w:left="20"/>
              <w:jc w:val="both"/>
            </w:pPr>
            <w:r>
              <w:rPr>
                <w:rFonts w:ascii="Times New Roman"/>
                <w:b w:val="false"/>
                <w:i w:val="false"/>
                <w:color w:val="000000"/>
                <w:sz w:val="20"/>
              </w:rPr>
              <w:t>
Кәсіптік оқыту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p>
            <w:pPr>
              <w:spacing w:after="20"/>
              <w:ind w:left="20"/>
              <w:jc w:val="both"/>
            </w:pPr>
            <w:r>
              <w:rPr>
                <w:rFonts w:ascii="Times New Roman"/>
                <w:b w:val="false"/>
                <w:i w:val="false"/>
                <w:color w:val="000000"/>
                <w:sz w:val="20"/>
              </w:rPr>
              <w:t xml:space="preserve">
Сәндік қолданбалы және халықтық кәсіпшілік өнері (бейін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p>
            <w:pPr>
              <w:spacing w:after="20"/>
              <w:ind w:left="20"/>
              <w:jc w:val="both"/>
            </w:pPr>
            <w:r>
              <w:rPr>
                <w:rFonts w:ascii="Times New Roman"/>
                <w:b w:val="false"/>
                <w:i w:val="false"/>
                <w:color w:val="000000"/>
                <w:sz w:val="20"/>
              </w:rPr>
              <w:t>
Банк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p>
            <w:pPr>
              <w:spacing w:after="20"/>
              <w:ind w:left="20"/>
              <w:jc w:val="both"/>
            </w:pPr>
            <w:r>
              <w:rPr>
                <w:rFonts w:ascii="Times New Roman"/>
                <w:b w:val="false"/>
                <w:i w:val="false"/>
                <w:color w:val="000000"/>
                <w:sz w:val="20"/>
              </w:rPr>
              <w:t>
Құқықтану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44359</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Ақпараттық-коммуникациялық технологиялар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p>
            <w:pPr>
              <w:spacing w:after="20"/>
              <w:ind w:left="20"/>
              <w:jc w:val="both"/>
            </w:pPr>
            <w:r>
              <w:rPr>
                <w:rFonts w:ascii="Times New Roman"/>
                <w:b w:val="false"/>
                <w:i w:val="false"/>
                <w:color w:val="000000"/>
                <w:sz w:val="20"/>
              </w:rPr>
              <w:t>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p>
            <w:pPr>
              <w:spacing w:after="20"/>
              <w:ind w:left="20"/>
              <w:jc w:val="both"/>
            </w:pPr>
            <w:r>
              <w:rPr>
                <w:rFonts w:ascii="Times New Roman"/>
                <w:b w:val="false"/>
                <w:i w:val="false"/>
                <w:color w:val="000000"/>
                <w:sz w:val="20"/>
              </w:rPr>
              <w:t xml:space="preserve">
Электромеханикалық жабдықтарға техникалық қызмет көрсету, жөндеу және пайдалану (түрлері және салалары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p>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p>
            <w:pPr>
              <w:spacing w:after="20"/>
              <w:ind w:left="20"/>
              <w:jc w:val="both"/>
            </w:pPr>
            <w:r>
              <w:rPr>
                <w:rFonts w:ascii="Times New Roman"/>
                <w:b w:val="false"/>
                <w:i w:val="false"/>
                <w:color w:val="000000"/>
                <w:sz w:val="20"/>
              </w:rPr>
              <w:t>
Слесарлық іс (салалар және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w:t>
            </w:r>
          </w:p>
          <w:p>
            <w:pPr>
              <w:spacing w:after="20"/>
              <w:ind w:left="20"/>
              <w:jc w:val="both"/>
            </w:pPr>
            <w:r>
              <w:rPr>
                <w:rFonts w:ascii="Times New Roman"/>
                <w:b w:val="false"/>
                <w:i w:val="false"/>
                <w:color w:val="000000"/>
                <w:sz w:val="20"/>
              </w:rPr>
              <w:t>
Полимерлік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p>
            <w:pPr>
              <w:spacing w:after="20"/>
              <w:ind w:left="20"/>
              <w:jc w:val="both"/>
            </w:pPr>
            <w:r>
              <w:rPr>
                <w:rFonts w:ascii="Times New Roman"/>
                <w:b w:val="false"/>
                <w:i w:val="false"/>
                <w:color w:val="000000"/>
                <w:sz w:val="20"/>
              </w:rPr>
              <w:t>
Талшықты материалдарды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p>
            <w:pPr>
              <w:spacing w:after="20"/>
              <w:ind w:left="20"/>
              <w:jc w:val="both"/>
            </w:pPr>
            <w:r>
              <w:rPr>
                <w:rFonts w:ascii="Times New Roman"/>
                <w:b w:val="false"/>
                <w:i w:val="false"/>
                <w:color w:val="000000"/>
                <w:sz w:val="20"/>
              </w:rPr>
              <w:t>
Гидротехникалық мелиорация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Ауыл, орман, балықшаруашылығы және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p>
            <w:pPr>
              <w:spacing w:after="20"/>
              <w:ind w:left="20"/>
              <w:jc w:val="both"/>
            </w:pPr>
            <w:r>
              <w:rPr>
                <w:rFonts w:ascii="Times New Roman"/>
                <w:b w:val="false"/>
                <w:i w:val="false"/>
                <w:color w:val="000000"/>
                <w:sz w:val="20"/>
              </w:rPr>
              <w:t>
Жеміс-көкөніс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p>
            <w:pPr>
              <w:spacing w:after="20"/>
              <w:ind w:left="20"/>
              <w:jc w:val="both"/>
            </w:pPr>
            <w:r>
              <w:rPr>
                <w:rFonts w:ascii="Times New Roman"/>
                <w:b w:val="false"/>
                <w:i w:val="false"/>
                <w:color w:val="000000"/>
                <w:sz w:val="20"/>
              </w:rPr>
              <w:t>
Өсімдікті қорғау және карантин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p>
            <w:pPr>
              <w:spacing w:after="20"/>
              <w:ind w:left="20"/>
              <w:jc w:val="both"/>
            </w:pPr>
            <w:r>
              <w:rPr>
                <w:rFonts w:ascii="Times New Roman"/>
                <w:b w:val="false"/>
                <w:i w:val="false"/>
                <w:color w:val="000000"/>
                <w:sz w:val="20"/>
              </w:rPr>
              <w:t>
Балық шаруашылығы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p>
            <w:pPr>
              <w:spacing w:after="20"/>
              <w:ind w:left="20"/>
              <w:jc w:val="both"/>
            </w:pPr>
            <w:r>
              <w:rPr>
                <w:rFonts w:ascii="Times New Roman"/>
                <w:b w:val="false"/>
                <w:i w:val="false"/>
                <w:color w:val="000000"/>
                <w:sz w:val="20"/>
              </w:rPr>
              <w:t>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p>
            <w:pPr>
              <w:spacing w:after="20"/>
              <w:ind w:left="20"/>
              <w:jc w:val="both"/>
            </w:pPr>
            <w:r>
              <w:rPr>
                <w:rFonts w:ascii="Times New Roman"/>
                <w:b w:val="false"/>
                <w:i w:val="false"/>
                <w:color w:val="000000"/>
                <w:sz w:val="20"/>
              </w:rPr>
              <w:t xml:space="preserve">
Шаштараз өнері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p>
            <w:pPr>
              <w:spacing w:after="20"/>
              <w:ind w:left="20"/>
              <w:jc w:val="both"/>
            </w:pPr>
            <w:r>
              <w:rPr>
                <w:rFonts w:ascii="Times New Roman"/>
                <w:b w:val="false"/>
                <w:i w:val="false"/>
                <w:color w:val="000000"/>
                <w:sz w:val="20"/>
              </w:rPr>
              <w:t>
Қонақ үй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p>
            <w:pPr>
              <w:spacing w:after="20"/>
              <w:ind w:left="20"/>
              <w:jc w:val="both"/>
            </w:pPr>
            <w:r>
              <w:rPr>
                <w:rFonts w:ascii="Times New Roman"/>
                <w:b w:val="false"/>
                <w:i w:val="false"/>
                <w:color w:val="000000"/>
                <w:sz w:val="20"/>
              </w:rPr>
              <w:t>
Өрт қауіпсіздігі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p>
            <w:pPr>
              <w:spacing w:after="20"/>
              <w:ind w:left="20"/>
              <w:jc w:val="both"/>
            </w:pPr>
            <w:r>
              <w:rPr>
                <w:rFonts w:ascii="Times New Roman"/>
                <w:b w:val="false"/>
                <w:i w:val="false"/>
                <w:color w:val="000000"/>
                <w:sz w:val="20"/>
              </w:rPr>
              <w:t>
Төтенше жағдайда қорғау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