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0c90" w14:textId="13f0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"Арыс қаласының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"Арыс қаласының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173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"Арыс қаласының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"Арыс қаласының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Арыс қаласы, А. Салықбаев көшесі, №22 үй индексі: 160100.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p>
      <w:pPr>
        <w:spacing w:after="0"/>
        <w:ind w:left="0"/>
        <w:jc w:val="both"/>
      </w:pPr>
      <w:r>
        <w:rPr>
          <w:rFonts w:ascii="Times New Roman"/>
          <w:b w:val="false"/>
          <w:i w:val="false"/>
          <w:color w:val="000000"/>
          <w:sz w:val="28"/>
        </w:rPr>
        <w:t>
      Бөлімнің қарамағындағы ұйымдар:</w:t>
      </w:r>
    </w:p>
    <w:p>
      <w:pPr>
        <w:spacing w:after="0"/>
        <w:ind w:left="0"/>
        <w:jc w:val="both"/>
      </w:pPr>
      <w:r>
        <w:rPr>
          <w:rFonts w:ascii="Times New Roman"/>
          <w:b w:val="false"/>
          <w:i w:val="false"/>
          <w:color w:val="000000"/>
          <w:sz w:val="28"/>
        </w:rPr>
        <w:t>
      1) Түркістан облысының білім басқармасының Арыс қаласының адами әлеуетті дамыту бөлімінің "С.Қожанов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Арыс қаласының адами әлеуетті дамыту бөлімінің "С.Сейфуллин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Арыс қаласының адами әлеуетті дамыту бөлімінің "М.Әуезов атындағы жалпы орта мектеп-гимназиясы"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Арыс қаласының адами әлеуетті дамыту бөлімінің "С.Адамбеков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Арыс қаласының адами әлеуетті дамыту бөлімінің "№32 Ә.Жангелдин атындағы жалпы орта мектебі" коммуналдық мемлекеттік мекемесі болып;</w:t>
      </w:r>
    </w:p>
    <w:p>
      <w:pPr>
        <w:spacing w:after="0"/>
        <w:ind w:left="0"/>
        <w:jc w:val="both"/>
      </w:pPr>
      <w:r>
        <w:rPr>
          <w:rFonts w:ascii="Times New Roman"/>
          <w:b w:val="false"/>
          <w:i w:val="false"/>
          <w:color w:val="000000"/>
          <w:sz w:val="28"/>
        </w:rPr>
        <w:t>
      6) Түркістан облысының білім басқармасының Арыс қаласының адами әлеуетті дамыту бөлімінің "№8 В.Комаров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Арыс қаласының адами әлеуетті дамыту бөлімінің "№11 Б.Момышұлы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Арыс қаласының адами әлеуетті дамыту бөлімінің "М.Шаханов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Арыс қаласының адами әлеуетті дамыту бөлімінің "Б.Кенжебаев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Арыс қаласының адами әлеуетті дамыту бөлімінің "С.Ерубаев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Арыс қаласының адами әлеуетті дамыту бөлімінің "Жиделі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Арыс қаласының адами әлеуетті дамыту бөлімінің "А.Тлеубердин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Арыс қаласының адами әлеуетті дамыту бөлімінің "Б.Онтаев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Арыс қаласының адами әлеуетті дамыту бөлімінің "Қаражантақ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Арыс қаласының адами әлеуетті дамыту бөлімінің "Ж.Ташенов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Арыс қаласының адами әлеуетті дамыту бөлімінің "Аққала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Арыс қаласының адами әлеуетті дамыту бөлімінің "А.Макаренко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Арыс қаласының адами әлеуетті дамыту бөлімінің "И.Журба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Арыс қаласының адами әлеуетті дамыту бөлімінің "№1 Е.Молдабаев атындағы жалпы орта мектеп-интернаты"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Арыс қаласының адами әлеуетті дамыту бөлімінің "Қабылсай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Арыс қаласының адами әлеуетті дамыту бөлімінің "Монтайтас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Арыс қаласының адами әлеуетті дамыту бөлімінің "Ыбырай 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Арыс қаласының адами әлеуетті дамыту бөлімінің "№5 М.Мәметова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Арыс қаласының адами әлеуетті дамыту бөлімінің "Майлықожа ақын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Арыс қаласының адами әлеуетті дамыту бөлімінің "Мұхамеджан Тынышбай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Арыс қаласының адами әлеуетті дамыту бөлімінің "Арыс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Арыс қаласының адами әлеуетті дамыту бөлімінің "№376 бастауыш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Арыс қаласының адами әлеуетті дамыту бөлімінің "№372 бастауыш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Арыс қаласының адами әлеуетті дамыту бөлімінің "№4 бастауыш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Арыс қаласының адами әлеуетті дамыту бөлімінің "Сағадат Нұрмағанбетов атындағы бастауыш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Арыс қаласының адами әлеуетті дамыту бөлімінің "Ынтымақ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Арыс қаласының адами әлеуетті дамыту бөлімінің "Тоғансай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Арыс қаласының адами әлеуетті дамыту бөлімінің "Ақтас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Арыс қаласының адами әлеуетті дамыту бөлімінің "Бірлік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Арыс қаласының адами әлеуетті дамыту бөлімінің "Талдықұдық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Арыс қаласының адами әлеуетті дамыту бөлімінің "Еңбекші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37) Түркістан облысының білім басқармасының Арыс қаласының адами әлеуетті дамыту бөлімінің "Теміржолшы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38) Түркістан облысының білім басқармасының Арыс қаласының адами әлеуетті дамыту бөлімінің "Ж.Байгуттиева атындағы өнер мектебі" коммуналдық мемлекеттік мекемесі;</w:t>
      </w:r>
    </w:p>
    <w:p>
      <w:pPr>
        <w:spacing w:after="0"/>
        <w:ind w:left="0"/>
        <w:jc w:val="both"/>
      </w:pPr>
      <w:r>
        <w:rPr>
          <w:rFonts w:ascii="Times New Roman"/>
          <w:b w:val="false"/>
          <w:i w:val="false"/>
          <w:color w:val="000000"/>
          <w:sz w:val="28"/>
        </w:rPr>
        <w:t>
      39) Түркістан облысының білім басқармасының Арыс қаласының адами әлеуетті дамыту бөлімінің "Айгөлек"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40) Түркістан облысының білім басқармасының Арыс қаласының адами әлеуетті дамыту бөлімінің "№11 Арыс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41) Түркістан облысының білім басқармасының Арыс қаласының адами әлеуетті дамыту бөлімінің "Балдырған"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42) Түркістан облысының білім басқармасының Арыс қаласының адами әлеуетті дамыту бөлімінің "Балапан"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43) Түркістан облысының білім басқармасының Арыс қаласының адами әлеуетті дамыту бөлімінің "Бал әлемі"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 Түркістан облысының білім басқармасының Арыс қаласының адами әлеуетті дамыту бөлімінің "Алтын тұмар"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 Түркістан облысының білім басқармасының Арыс қаласының адами әлеуетті дамыту бөлімінің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 Түркістан облысының білім басқармасының Арыс қаласының адами әлеуетті дамыту бөлімінің "Балбөбек"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 Түркістан облысының білім басқармасының Арыс қаласының адами әлеуетті дамыту бөлімінің "Саяжан"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 Түркістан облысының білім басқармасының Арыс қаласының адами әлеуетті дамыту бөлімінің "Ақкөгершін" бөбекжай-балабақшасы"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