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4ee3" w14:textId="e284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28 желтқсандағы "2023 – 2025 жылдарға арналған ауылдық округтердің бюджеттері туралы" № 27/161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29 мамырдағы № 3/14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2023 - 2025 жылдарға арналған бюджеті тиісінше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2023- 2025 жылдарға арналған бюджеті тиісінше 4, 5 және 6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2023-2025 жылдарға арналған бюджеті тиісінше 7, 8 және 9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2023 - 2025 жылдарға арналған бюджеті тиісінше 10, 11 және 12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–1 161,0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2023 - 2025 жылдарға арналған бюджеті тиісінше 13, 14 және 15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2023 - 2025 жылдарға арналған бюджеті тиісінше 16, 17 және 18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66137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2023 - 2025 жылдарға арналған бюджеті тиісінше 19, 20 және 21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54 531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2023 – 2025 жылдарға арналған бюджеті тиісінше 22, 23 және 24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61 896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2023 - 2025 жылдарға арналған бюджеті тиісінше 25, 26 және 27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2023 - 2025 жылдарға арналған бюджеті тиісінше 28, 29 және 30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71 649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2023 - 2025 жылдарға арналған бюджеті тиісінше 31, 32 және 33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139 550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2 168 мың теңге.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