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f9c6" w14:textId="e06f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2022 жылғы 28 желтқсандағы "2023 – 2025 жылдарға арналған ауылдық округтердің бюджеттері туралы" № 27/161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2023 жылғы 11 қазандағы № 7/32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Ағыбет ауылдық округінің 2023 - 2025 жылдарға арналған бюджеті тиісінше 1, 2 және 3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67 760мың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61 333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Алғабас ауылдық округінің 2023- 2025 жылдарға арналған бюджеті тиісінше 4, 5 және 6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66 335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Алмалы ауылдық округінің 2023-2025 жылдарға арналған бюджеті тиісінше 7, 8 және 9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Ақбастау ауылдық округінің 2023 - 2025 жылдарға арналған бюджеті тиісінше 10, 11 және 12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57 077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58 238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–1 161,0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Боралдай ауылдық округінің 2023 - 2025 жылдарға арналған бюджеті тиісінше 13, 14 және 15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80 300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Бөген ауылдық округінің 2023 - 2025 жылдарға арналған бюджеті тиісінше 16, 17 және 18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59275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–1228,0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Борлысай ауылдық округінің 2023 - 2025 жылдарға арналған бюджеті тиісінше 19, 20 және 21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54 410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Жамбыл ауылдық округінің 2023 – 2025 жылдарға арналған бюджеті тиісінше 22, 23 және 24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60 745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Көктерек ауылдық округінің 2023 - 2025 жылдарға арналған бюджеті тиісінше 25, 26 және 27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46 257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Мыңбұлақ ауылдық округінің 2023 - 2025 жылдарға арналған бюджеті тиісінше 28, 29 және 30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71 529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Шаян ауылдық округінің 2023 - 2025 жылдарға арналған бюджеті тиісінше 31, 32 және 33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140 920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93 073мың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2 168 мың теңге.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 заңнамасында көздеген жағдайларда жаплы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 заңнамасында көздеген жағдайларда жаплы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