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adde" w14:textId="d32a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2022 жылғы 28 желтқсандағы "2023 – 2025 жылдарға арналған ауылдық округтердің бюджеттері туралы" № 27/161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11 қазандағы № 7/32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Ағыбет ауылдық округінің 2023 - 2025 жылдарға арналған бюджеті тиісінше 1, 2 және 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67 760мың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61 333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Алғабас ауылдық округінің 2023- 2025 жылдарға арналған бюджеті тиісінше 4, 5 және 6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66 335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54 451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Алмалы ауылдық округінің 2023-2025 жылдарға арналған бюджеті тиісінше 7, 8 және 9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64 650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56 641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Ақбастау ауылдық округінің 2023 - 2025 жылдарға арналған бюджеті тиісінше 10, 11 және 12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57 077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–1 161,0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Боралдай ауылдық округінің 2023 - 2025 жылдарға арналған бюджеті тиісінше 13, 14 және 15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80 300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–864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Бөген ауылдық округінің 2023 - 2025 жылдарға арналған бюджеті тиісінше 16, 17 және 18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59275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–1228,0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Борлысай ауылдық округінің 2023 - 2025 жылдарға арналған бюджеті тиісінше 19, 20 және 21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54 410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Жамбыл ауылдық округінің 2023 – 2025 жылдарға арналған бюджеті тиісінше 22, 23 және 24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60 745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Көктерек ауылдық округінің 2023 - 2025 жылдарға арналған бюджеті тиісінше 25, 26 және 27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46 257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Мыңбұлақ ауылдық округінің 2023 - 2025 жылдарға арналған бюджеті тиісінше 28, 29 және 30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71 529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Шаян ауылдық округінің 2023 - 2025 жылдарға арналған бюджеті тиісінше 31, 32 және 33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140 920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45 868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93 073мың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2 168 мың теңге.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 заңнамасында көздеген жағдайларда жаплы сипаттағы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 заңнамасында көздеген жағдайларда жаплы сипаттағы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27/161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