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36db" w14:textId="f7c3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2022 жылғы 28 желтқсандағы "2023–2025 жылдарға арналған ауылдық округтердің бюджеттері туралы" № 27/161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21 қарашадағы № 9/40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2023 - 2025 жылдарға арналған бюджеті тиісінше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71 967мың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Алғабас ауылдық округінің 2023- 2025 жылдарға арналған бюджеті тиісінше 4, 5 және 6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70 171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Алмалы ауылдық округінің 2023-2025 жылдарға арналған бюджеті тиісінше 7, 8 және 9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69 343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Ақбастау ауылдық округінің 2023 - 2025 жылдарға арналған бюджеті тиісінше 10, 11 және 12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61 989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–1 161,0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Боралдай ауылдық округінің 2023 - 2025 жылдарға арналған бюджеті тиісінше 13, 14 және 15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Бөген ауылдық округінің 2023 - 2025 жылдарға арналған бюджеті тиісінше 16, 17 және 18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64 874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–1228,0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Борлысай ауылдық округінің 2023 - 2025 жылдарға арналған бюджеті тиісінше 19, 20 және 21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58 617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 ауылдық округінің 2023 – 2025 жылдарға арналған бюджеті тиісінше 22, 23 және 24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Көктерек ауылдық округінің 2023 - 2025 жылдарға арналған бюджеті тиісінше 25, 26 және 27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50 125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Мыңбұлақ ауылдық округінің 2023 - 2025 жылдарға арналған бюджеті тиісінше 28, 29 және 30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75 618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Шаян ауылдық округінің 2023 - 2025 жылдарға арналған бюджеті тиісінше 31, 32 және 33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146 669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93 073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2 168 мың теңге.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№27/161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