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79b" w14:textId="83e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"2023-2025 жылдарға арналған ауылдық округтердің бюджеті туралы" 2022 жылғы 30 желтоқсандағы № 36/163-VIІ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25 мамырдағы № 4/24-VIII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"2023-2025 жылдарға арналған ауылдық округтердің бюджеті туралы" 2022 жылғы 30 желтоқсандағы № 36/163-VII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2023-2025 жылдарға арналған бюджеті 1, 2,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-7 783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2023-2025 жылдарға арналған бюджеті 4, 5, 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2023-2025 жылдарға арналған бюджеті 7, 8, 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2023-2025 жылдарға арналған бюджеті 10, 11, 12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-3 672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2023-2025 жылдарға арналған бюджеті 13, 14, 15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2023-2025 жылдарға арналған бюджеті 16, 17, 18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64 020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2023-2025 жылдарға арналған бюджеті 19, 20, 21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52 873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2023-2025 жылдарға арналған бюджеті 22, 23, 24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37 079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2023-2025 жылдарға арналған бюджеті 25, 26, 27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2023-2025 жылдарға арналған бюджеті 28, 29, 30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2023-2025 жылдарға арналған бюджеті 31, 32, 33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2023-2025 жылдарға арналған бюджеті 34, 35, 36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46 945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2023-2025 жылдарға арналған бюджеті 37, 38, 39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39 449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36/163-VІI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