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aaa3" w14:textId="7eba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"Sozak Oil and Gas" Акционерлік қоғамына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2 қазандағы № 251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 Қазақстан Республикасының "Жер Кодексінің" 17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"Sozak Oil and Gas" АҚ-ның бас директоры Лю Вэйдің 06.09.2023 жылғы № 003/152 санды хатына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"Sozak Oil and Gas" Акционерлік қоғамының Созақ ауданы аумағынан барлығы-5 гектар жер учаскесіне барлау жұмыстарын жүргізу үшін қысқа мерзімді уақытша пайдалану құқығымен 2023 жылдың 15 қазанына дейін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Жалға алған жер учаскесіне төленетін сервитут ақысы Қазақстан Республикасының 2017 жылғы 25 желтоқсандағы "Салық және бюджетке төленетін басқа да міндетті төлемдер туралы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Кодексіне" сәйкес уақытша жалға жер пайдалану туралы келісім шартта көрсетілген мерзімде төлеп отыру ұсынылсын. Келісім шартты 10 күннен кешіктірмей жасасу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А.Сатыбалдыға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