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786" w14:textId="12b0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26 желтоқсандағы № 25-161-VІІ "2023-2025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12 қыркүйектегі № 8-44-VIII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қала, ауылдық округтердің бюджеті туралы" 2022 жылғы 26 желтоқсандағы № 25-161-VII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482 841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206 086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276 199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484 944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2023-2025 жылдарға арналған бюджеті 4, 5, 6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88 468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89 727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2023-2025 жылдарға арналған бюджеті 7, 8, 9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63 847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67 049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3 202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2023-2025 жылдарға арналған бюджеті 10, 11, 12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2023-2025 жылдарға арналған бюджеті 13, 14, 15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70 940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19 124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51 816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2023-2025 жылдарға арналған бюджеті 16, 17, 18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63 359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63 525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2023-2025 жылдарға арналған бюджеті 19, 20, 21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55 087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55 222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2023-2025 жылдарға арналған бюджеті 22, 23, 24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67 642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67 865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2023-2025 жылдарға арналған бюджеті 25, 26, 27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97 404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91 417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2023-2025 жылдарға арналған бюджеті 28, 29, 30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106 108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2023-2025 жылдарға арналған бюджеті 31, 32, 33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78 079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66 721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78 734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655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25-161-VII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