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2926" w14:textId="3db2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2022 жылғы 26 желтоқсандағы № 25-161-VІІ "2023-2025 жылдарға арналған қала,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2023 жылғы 13 желтоқсандағы № 14-64-VIII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"2023-2025 жылдарға арналған қала, ауылдық округтердің бюджеті туралы" 2022 жылғы 26 желтоқсандағы № 25-161-VII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қаласының 2023-2025 жылдарға арналған бюджеті 1, 2 және 3-қосымшаларға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Шардара қаласының 2023-2025 жылдарға арналған бюджеті 1, 2 және 3-қосымшаларға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464 603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217 182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 246 836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466 706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-2 103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2 103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2 103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Қ.Тұрысбеков ауылдық округінің 2023-2025 жылдарға арналған бюджеті 4, 5, 6 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87 217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20 403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66 814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88 476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-1 259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1 259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1 259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Көксу ауылдық округінің 2023-2025 жылдарға арналған бюджеті 7, 8, 9 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65 962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20 431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45 531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69 164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-3 202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3 202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3 202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Ұзын ата ауылдық округінің 2023-2025 жылдарға арналған бюджеті 10, 11, 12 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83 793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11 999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71 794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88 139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-4 346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4 346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4 346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Алатау батыр ауылдық округінің 2023-2025 жылдарға арналған бюджеті 13, 14, 15 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72 692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27 396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45 296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74 453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1 761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1 761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Қызылқұм ауылдық округінің 2023-2025 жылдарға арналған бюджеті 16, 17, 18 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60 047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8 731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51 316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60 213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Сүткент ауылдық округінің 2023-2025 жылдарға арналған бюджеті 19, 20, 21 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54 824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8 017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46 807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54 959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Ақшеңгелді ауылдық округінің 2023-2025 жылдарға арналған бюджеті 22, 23, 24 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68 105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7 851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60 254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68 328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223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223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Достық ауылдық округінің 2023-2025 жылдарға арналған бюджеті 25, 26, 27 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99 439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6 982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92 457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99 553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Жаушықұм ауылдық округінің 2023-2025 жылдарға арналған бюджеті 28, 29, 30 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116 451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11 248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104 688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116 781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330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330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Қоссейіт ауылдық округінің 2023-2025 жылдарға арналған бюджеті 31, 32, 33 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77 516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14 466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63 050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78 171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655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655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14-64-VIII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25-161-VII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14-64-VIII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25-161-VII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Қ.Тұрысбеков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14-64-VIII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25-161-VII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14-64-VIII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25-161-VII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Ұзын-ата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14-64-VIII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25-161-VII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14-64-VIII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25-161-VII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14-64-VIII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25-161-VII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14-64-VIII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25-161-VII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14-64-VIII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25-161-VII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14-64-VIII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25-161-VII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14-64-VIII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25-161-VII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