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9a36" w14:textId="7719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27 сәуірдегі № 01-03/VIII-2-14/4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 Зайсан аудандық мәслихатының 2022 жылғы 12 желтоқсандағы №26-2/4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2023 жылғы 27 сәуірдегі</w:t>
            </w:r>
            <w:r>
              <w:br/>
            </w:r>
            <w:r>
              <w:rPr>
                <w:rFonts w:ascii="Times New Roman"/>
                <w:b w:val="false"/>
                <w:i w:val="false"/>
                <w:color w:val="000000"/>
                <w:sz w:val="20"/>
              </w:rPr>
              <w:t xml:space="preserve">№01-03/VIII-2-14/4 </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"Зайсан аудандық мәслихаттың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"Зайсан аудандық мәслихаттың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"Зайсан аудандық мәслихаттың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аудандық мәслихат аппараты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"Зайсан аудандық мәслихаттың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Зайсан аудандық мәслихатының кадр мәселелерімен айналысатын маманы міндеттерін атқару жүктелген және аппарат басшысы (бұдан әрі – кадр мәселелерімен айналысатын аппарат маманы),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мәслихат төрағасы бекітетін қызметшілердің бағалау кестесін құрастырады.</w:t>
      </w:r>
    </w:p>
    <w:bookmarkEnd w:id="33"/>
    <w:bookmarkStart w:name="z41" w:id="34"/>
    <w:p>
      <w:pPr>
        <w:spacing w:after="0"/>
        <w:ind w:left="0"/>
        <w:jc w:val="both"/>
      </w:pPr>
      <w:r>
        <w:rPr>
          <w:rFonts w:ascii="Times New Roman"/>
          <w:b w:val="false"/>
          <w:i w:val="false"/>
          <w:color w:val="000000"/>
          <w:sz w:val="28"/>
        </w:rPr>
        <w:t>
      11. Кадр мәселелерімен айналысатын аппарат маманы "Б" корпусы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2" w:id="35"/>
    <w:p>
      <w:pPr>
        <w:spacing w:after="0"/>
        <w:ind w:left="0"/>
        <w:jc w:val="both"/>
      </w:pPr>
      <w:r>
        <w:rPr>
          <w:rFonts w:ascii="Times New Roman"/>
          <w:b w:val="false"/>
          <w:i w:val="false"/>
          <w:color w:val="000000"/>
          <w:sz w:val="28"/>
        </w:rPr>
        <w:t>
      12. Бағалау нәтижелерімен келіспеген жағдайда,"Б"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мәселелерімен айналысатын аппарат маманында, сондай-ақ техникалық мүмкіндік болған кезде ақпараттық жүйеде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маман қарастырады.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уақытылы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Кадр мәселелерімен айналысатын маманы мыналарға жауапты болады:</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адамға, бағалаушы адамға, кадр мәселелерімен айналысатын маманғажәне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НМИ-ды бағалаушы адаммен кадр мәселелерімен айналысатын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маман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немесе ол болмаған жағдайда кадр мәселелерімен айналысатын аппарат маманыаппарат басшысын оған қатысты бағалауды өткізу туралы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кадр мәселелерімен айналысатын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кадр мәселелерімен айналысатын маманымен бағалаушы адамға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8" w:id="91"/>
    <w:p>
      <w:pPr>
        <w:spacing w:after="0"/>
        <w:ind w:left="0"/>
        <w:jc w:val="both"/>
      </w:pPr>
      <w:r>
        <w:rPr>
          <w:rFonts w:ascii="Times New Roman"/>
          <w:b w:val="false"/>
          <w:i w:val="false"/>
          <w:color w:val="000000"/>
          <w:sz w:val="28"/>
        </w:rPr>
        <w:t>
      Аудандық мәслихат аппарат басшысы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топты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мәселелерімен айналысатын маманы дербес анықтайтын үш адамнан кем болмауы және жеті адамнан артық болмауы тиіс.</w:t>
      </w:r>
    </w:p>
    <w:bookmarkEnd w:id="113"/>
    <w:bookmarkStart w:name="z12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2"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6" w:id="119"/>
    <w:p>
      <w:pPr>
        <w:spacing w:after="0"/>
        <w:ind w:left="0"/>
        <w:jc w:val="both"/>
      </w:pPr>
      <w:r>
        <w:rPr>
          <w:rFonts w:ascii="Times New Roman"/>
          <w:b w:val="false"/>
          <w:i w:val="false"/>
          <w:color w:val="000000"/>
          <w:sz w:val="28"/>
        </w:rPr>
        <w:t xml:space="preserve">
      36. Кадр мәселелерімен айналысатын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 мәселелерімен айналысатын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7"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 өткізіледі.</w:t>
      </w:r>
    </w:p>
    <w:bookmarkEnd w:id="121"/>
    <w:bookmarkStart w:name="z129" w:id="122"/>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Кадр мәселелерімен айналысатын маманы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4"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7"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0"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1"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