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eec6" w14:textId="2b9e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Сырым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8 қыркүйектегі № 9-4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ауданының ауылдық елді мекендеріне 2023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w:t>
      </w:r>
    </w:p>
    <w:bookmarkEnd w:id="1"/>
    <w:bookmarkStart w:name="z5" w:id="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bookmarkEnd w:id="3"/>
    <w:bookmarkStart w:name="z7" w:id="4"/>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