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70f1" w14:textId="4aa7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2024 жылғы 13 мамырдағы № 98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w:t>
      </w:r>
      <w:r>
        <w:rPr>
          <w:rFonts w:ascii="Times New Roman"/>
          <w:b w:val="false"/>
          <w:i w:val="false"/>
          <w:color w:val="000000"/>
          <w:sz w:val="28"/>
        </w:rPr>
        <w:t xml:space="preserve"> 2-бөлігіне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Қаржы-құқықтық қамтамасыз ету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жіберілуін;</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2024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2024 жылғы 13 мамырдағы</w:t>
            </w:r>
            <w:r>
              <w:br/>
            </w:r>
            <w:r>
              <w:rPr>
                <w:rFonts w:ascii="Times New Roman"/>
                <w:b w:val="false"/>
                <w:i w:val="false"/>
                <w:color w:val="000000"/>
                <w:sz w:val="20"/>
              </w:rPr>
              <w:t>№ 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заттай нормалар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w:t>
            </w:r>
          </w:p>
          <w:p>
            <w:pPr>
              <w:spacing w:after="20"/>
              <w:ind w:left="20"/>
              <w:jc w:val="both"/>
            </w:pPr>
            <w:r>
              <w:rPr>
                <w:rFonts w:ascii="Times New Roman"/>
                <w:b w:val="false"/>
                <w:i w:val="false"/>
                <w:color w:val="000000"/>
                <w:sz w:val="20"/>
              </w:rPr>
              <w:t>
іс-қимыл агенттігінің (Сыбайлас жемқорлыққа қарсы қызмет)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w:t>
            </w:r>
          </w:p>
          <w:p>
            <w:pPr>
              <w:spacing w:after="20"/>
              <w:ind w:left="20"/>
              <w:jc w:val="both"/>
            </w:pPr>
            <w:r>
              <w:rPr>
                <w:rFonts w:ascii="Times New Roman"/>
                <w:b w:val="false"/>
                <w:i w:val="false"/>
                <w:color w:val="000000"/>
                <w:sz w:val="20"/>
              </w:rPr>
              <w:t>
агенттігінің (Сыбайлас жемқорлыққа қарсы қызмет) аумақтық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 w:id="8"/>
    <w:p>
      <w:pPr>
        <w:spacing w:after="0"/>
        <w:ind w:left="0"/>
        <w:jc w:val="both"/>
      </w:pPr>
      <w:r>
        <w:rPr>
          <w:rFonts w:ascii="Times New Roman"/>
          <w:b w:val="false"/>
          <w:i w:val="false"/>
          <w:color w:val="000000"/>
          <w:sz w:val="28"/>
        </w:rPr>
        <w:t>
      Ескертпе: жоғарыда көрсетілген тиесілік нормалары ерекше үй-жайлардың болуына және ғимараттардағы үй-жайларды жоспарлау ерекшеліктеріне байланысты айқындалады.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