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c930" w14:textId="e08c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2024 жылғы 29 наурыздағы № 162/20-VIII шешімі. Күші жойылды - Астана қаласы мәслихатының 2024 жылғы 25 қыркүйектегі № 221/27-VIII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25.09.2024 </w:t>
      </w:r>
      <w:r>
        <w:rPr>
          <w:rFonts w:ascii="Times New Roman"/>
          <w:b w:val="false"/>
          <w:i w:val="false"/>
          <w:color w:val="ff0000"/>
          <w:sz w:val="28"/>
        </w:rPr>
        <w:t>№ 221/27-VIII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12-бабы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Астана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 оның ішінде дәрілік заттар, бейімделген емдік өнімдер, медициналық бұйымдар қосымша тегін берілсін.</w:t>
      </w:r>
    </w:p>
    <w:bookmarkEnd w:id="1"/>
    <w:bookmarkStart w:name="z3" w:id="2"/>
    <w:p>
      <w:pPr>
        <w:spacing w:after="0"/>
        <w:ind w:left="0"/>
        <w:jc w:val="both"/>
      </w:pPr>
      <w:r>
        <w:rPr>
          <w:rFonts w:ascii="Times New Roman"/>
          <w:b w:val="false"/>
          <w:i w:val="false"/>
          <w:color w:val="000000"/>
          <w:sz w:val="28"/>
        </w:rPr>
        <w:t xml:space="preserve">
      2. "Астана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Нұр-Сұлтан қаласы мәслихатының 2021 жылғы 16 шілдедегі № 66/9-VI шешіміне өзгеріс енгізу туралы" Астана қаласы мәслихатының 2023 жылғы 30 маусымдағы № 45/5-VIII </w:t>
      </w:r>
      <w:r>
        <w:rPr>
          <w:rFonts w:ascii="Times New Roman"/>
          <w:b w:val="false"/>
          <w:i w:val="false"/>
          <w:color w:val="000000"/>
          <w:sz w:val="28"/>
        </w:rPr>
        <w:t>шешімінің</w:t>
      </w:r>
      <w:r>
        <w:rPr>
          <w:rFonts w:ascii="Times New Roman"/>
          <w:b w:val="false"/>
          <w:i w:val="false"/>
          <w:color w:val="000000"/>
          <w:sz w:val="28"/>
        </w:rPr>
        <w:t xml:space="preserve"> жою туралы.</w:t>
      </w:r>
    </w:p>
    <w:bookmarkEnd w:id="2"/>
    <w:bookmarkStart w:name="z4" w:id="3"/>
    <w:p>
      <w:pPr>
        <w:spacing w:after="0"/>
        <w:ind w:left="0"/>
        <w:jc w:val="both"/>
      </w:pPr>
      <w:r>
        <w:rPr>
          <w:rFonts w:ascii="Times New Roman"/>
          <w:b w:val="false"/>
          <w:i w:val="false"/>
          <w:color w:val="000000"/>
          <w:sz w:val="28"/>
        </w:rPr>
        <w:t>
      3. Осы шешiм алғашқы ресми жарияланған күнінен кейін күнтізбелік он күн өткен 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29 наурыздағы</w:t>
            </w:r>
            <w:r>
              <w:br/>
            </w:r>
            <w:r>
              <w:rPr>
                <w:rFonts w:ascii="Times New Roman"/>
                <w:b w:val="false"/>
                <w:i w:val="false"/>
                <w:color w:val="000000"/>
                <w:sz w:val="20"/>
              </w:rPr>
              <w:t>№ 162/20-VIII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Астана қаласында тіркелген Қазақстан Республикасы азаматтарының жекелеген санаттарына амбулаториялық емдеу кезінде қосымша берілетін тегін медициналық көмектің кепілдендірілген көлемінің, оның ішінде дәрілік заттардың, мамандандырылған емдік өнімдердің, медициналық бұйымдардың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Аурудың</w:t>
            </w:r>
            <w:r>
              <w:rPr>
                <w:rFonts w:ascii="Times New Roman"/>
                <w:b w:val="false"/>
                <w:i w:val="false"/>
                <w:color w:val="000000"/>
                <w:sz w:val="20"/>
              </w:rPr>
              <w:t xml:space="preserve">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Халықтың</w:t>
            </w:r>
            <w:r>
              <w:rPr>
                <w:rFonts w:ascii="Times New Roman"/>
                <w:b w:val="false"/>
                <w:i w:val="false"/>
                <w:color w:val="000000"/>
                <w:sz w:val="20"/>
              </w:rPr>
              <w:t xml:space="preserve"> </w:t>
            </w:r>
            <w:r>
              <w:rPr>
                <w:rFonts w:ascii="Times New Roman"/>
                <w:b/>
                <w:i w:val="false"/>
                <w:color w:val="000000"/>
                <w:sz w:val="20"/>
              </w:rPr>
              <w:t>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w:t>
            </w:r>
            <w:r>
              <w:rPr>
                <w:rFonts w:ascii="Times New Roman"/>
                <w:b w:val="false"/>
                <w:i w:val="false"/>
                <w:color w:val="000000"/>
                <w:sz w:val="20"/>
              </w:rPr>
              <w:t xml:space="preserve"> </w:t>
            </w:r>
            <w:r>
              <w:rPr>
                <w:rFonts w:ascii="Times New Roman"/>
                <w:b/>
                <w:i w:val="false"/>
                <w:color w:val="000000"/>
                <w:sz w:val="20"/>
              </w:rPr>
              <w:t>заттарды</w:t>
            </w:r>
            <w:r>
              <w:rPr>
                <w:rFonts w:ascii="Times New Roman"/>
                <w:b w:val="false"/>
                <w:i w:val="false"/>
                <w:color w:val="000000"/>
                <w:sz w:val="20"/>
              </w:rPr>
              <w:t xml:space="preserve"> </w:t>
            </w:r>
            <w:r>
              <w:rPr>
                <w:rFonts w:ascii="Times New Roman"/>
                <w:b/>
                <w:i w:val="false"/>
                <w:color w:val="000000"/>
                <w:sz w:val="20"/>
              </w:rPr>
              <w:t>тағайындау</w:t>
            </w:r>
            <w:r>
              <w:rPr>
                <w:rFonts w:ascii="Times New Roman"/>
                <w:b w:val="false"/>
                <w:i w:val="false"/>
                <w:color w:val="000000"/>
                <w:sz w:val="20"/>
              </w:rPr>
              <w:t xml:space="preserve"> </w:t>
            </w:r>
            <w:r>
              <w:rPr>
                <w:rFonts w:ascii="Times New Roman"/>
                <w:b/>
                <w:i w:val="false"/>
                <w:color w:val="000000"/>
                <w:sz w:val="20"/>
              </w:rPr>
              <w:t>көрсеткіші</w:t>
            </w:r>
            <w:r>
              <w:rPr>
                <w:rFonts w:ascii="Times New Roman"/>
                <w:b/>
                <w:i w:val="false"/>
                <w:color w:val="000000"/>
                <w:sz w:val="20"/>
              </w:rPr>
              <w:t xml:space="preserve"> (</w:t>
            </w:r>
            <w:r>
              <w:rPr>
                <w:rFonts w:ascii="Times New Roman"/>
                <w:b/>
                <w:i w:val="false"/>
                <w:color w:val="000000"/>
                <w:sz w:val="20"/>
              </w:rPr>
              <w:t>дәрежесі</w:t>
            </w:r>
            <w:r>
              <w:rPr>
                <w:rFonts w:ascii="Times New Roman"/>
                <w:b/>
                <w:i w:val="false"/>
                <w:color w:val="000000"/>
                <w:sz w:val="20"/>
              </w:rPr>
              <w:t xml:space="preserve">, </w:t>
            </w:r>
            <w:r>
              <w:rPr>
                <w:rFonts w:ascii="Times New Roman"/>
                <w:b/>
                <w:i w:val="false"/>
                <w:color w:val="000000"/>
                <w:sz w:val="20"/>
              </w:rPr>
              <w:t>сатысы</w:t>
            </w:r>
            <w:r>
              <w:rPr>
                <w:rFonts w:ascii="Times New Roman"/>
                <w:b/>
                <w:i w:val="false"/>
                <w:color w:val="000000"/>
                <w:sz w:val="20"/>
              </w:rPr>
              <w:t xml:space="preserve">, </w:t>
            </w:r>
            <w:r>
              <w:rPr>
                <w:rFonts w:ascii="Times New Roman"/>
                <w:b/>
                <w:i w:val="false"/>
                <w:color w:val="000000"/>
                <w:sz w:val="20"/>
              </w:rPr>
              <w:t>ағым</w:t>
            </w:r>
            <w:r>
              <w:rPr>
                <w:rFonts w:ascii="Times New Roman"/>
                <w:b w:val="false"/>
                <w:i w:val="false"/>
                <w:color w:val="000000"/>
                <w:sz w:val="20"/>
              </w:rPr>
              <w:t xml:space="preserve"> </w:t>
            </w:r>
            <w:r>
              <w:rPr>
                <w:rFonts w:ascii="Times New Roman"/>
                <w:b/>
                <w:i w:val="false"/>
                <w:color w:val="000000"/>
                <w:sz w:val="20"/>
              </w:rPr>
              <w:t>ауырлығы</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w:t>
            </w:r>
            <w:r>
              <w:rPr>
                <w:rFonts w:ascii="Times New Roman"/>
                <w:b w:val="false"/>
                <w:i w:val="false"/>
                <w:color w:val="000000"/>
                <w:sz w:val="20"/>
              </w:rPr>
              <w:t xml:space="preserve"> </w:t>
            </w:r>
            <w:r>
              <w:rPr>
                <w:rFonts w:ascii="Times New Roman"/>
                <w:b/>
                <w:i w:val="false"/>
                <w:color w:val="000000"/>
                <w:sz w:val="20"/>
              </w:rPr>
              <w:t>заттардың</w:t>
            </w:r>
            <w:r>
              <w:rPr>
                <w:rFonts w:ascii="Times New Roman"/>
                <w:b/>
                <w:i w:val="false"/>
                <w:color w:val="000000"/>
                <w:sz w:val="20"/>
              </w:rPr>
              <w:t xml:space="preserve"> (</w:t>
            </w:r>
            <w:r>
              <w:rPr>
                <w:rFonts w:ascii="Times New Roman"/>
                <w:b/>
                <w:i w:val="false"/>
                <w:color w:val="000000"/>
                <w:sz w:val="20"/>
              </w:rPr>
              <w:t>шығару</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i w:val="false"/>
                <w:color w:val="000000"/>
                <w:sz w:val="20"/>
              </w:rPr>
              <w:t xml:space="preserve">), </w:t>
            </w:r>
            <w:r>
              <w:rPr>
                <w:rFonts w:ascii="Times New Roman"/>
                <w:b/>
                <w:i w:val="false"/>
                <w:color w:val="000000"/>
                <w:sz w:val="20"/>
              </w:rPr>
              <w:t>медициналық</w:t>
            </w:r>
            <w:r>
              <w:rPr>
                <w:rFonts w:ascii="Times New Roman"/>
                <w:b w:val="false"/>
                <w:i w:val="false"/>
                <w:color w:val="000000"/>
                <w:sz w:val="20"/>
              </w:rPr>
              <w:t xml:space="preserve"> </w:t>
            </w:r>
            <w:r>
              <w:rPr>
                <w:rFonts w:ascii="Times New Roman"/>
                <w:b/>
                <w:i w:val="false"/>
                <w:color w:val="000000"/>
                <w:sz w:val="20"/>
              </w:rPr>
              <w:t>бұйымдардың</w:t>
            </w:r>
            <w:r>
              <w:rPr>
                <w:rFonts w:ascii="Times New Roman"/>
                <w:b/>
                <w:i w:val="false"/>
                <w:color w:val="000000"/>
                <w:sz w:val="20"/>
              </w:rPr>
              <w:t xml:space="preserve">, </w:t>
            </w:r>
            <w:r>
              <w:rPr>
                <w:rFonts w:ascii="Times New Roman"/>
                <w:b/>
                <w:i w:val="false"/>
                <w:color w:val="000000"/>
                <w:sz w:val="20"/>
              </w:rPr>
              <w:t>мамандандырылған</w:t>
            </w:r>
            <w:r>
              <w:rPr>
                <w:rFonts w:ascii="Times New Roman"/>
                <w:b w:val="false"/>
                <w:i w:val="false"/>
                <w:color w:val="000000"/>
                <w:sz w:val="20"/>
              </w:rPr>
              <w:t xml:space="preserve"> </w:t>
            </w:r>
            <w:r>
              <w:rPr>
                <w:rFonts w:ascii="Times New Roman"/>
                <w:b/>
                <w:i w:val="false"/>
                <w:color w:val="000000"/>
                <w:sz w:val="20"/>
              </w:rPr>
              <w:t>емдік</w:t>
            </w:r>
            <w:r>
              <w:rPr>
                <w:rFonts w:ascii="Times New Roman"/>
                <w:b w:val="false"/>
                <w:i w:val="false"/>
                <w:color w:val="000000"/>
                <w:sz w:val="20"/>
              </w:rPr>
              <w:t xml:space="preserve"> </w:t>
            </w:r>
            <w:r>
              <w:rPr>
                <w:rFonts w:ascii="Times New Roman"/>
                <w:b/>
                <w:i w:val="false"/>
                <w:color w:val="000000"/>
                <w:sz w:val="20"/>
              </w:rPr>
              <w:t>өнімдердің</w:t>
            </w:r>
            <w:r>
              <w:rPr>
                <w:rFonts w:ascii="Times New Roman"/>
                <w:b w:val="false"/>
                <w:i w:val="false"/>
                <w:color w:val="000000"/>
                <w:sz w:val="20"/>
              </w:rPr>
              <w:t xml:space="preserve"> </w:t>
            </w:r>
            <w:r>
              <w:rPr>
                <w:rFonts w:ascii="Times New Roman"/>
                <w:b/>
                <w:i w:val="false"/>
                <w:color w:val="000000"/>
                <w:sz w:val="20"/>
              </w:rPr>
              <w:t>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кепілдендірілген көлемі шеңберіндегі дәрілік заттар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емдеуге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 инфузия үшін концентрат дайындауға арналған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Пульмозим (Дорназа-альфа), ингаляцияға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ақауы кезіндегі басқа екіншілікті өкпе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 ингаляцияға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өкпе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емдеуге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қабықпен қапталған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Диазоксид,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медуллярлық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және ауырлық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Вандетаниб,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Шорбуындаушы спондилит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p>
            <w:pPr>
              <w:spacing w:after="20"/>
              <w:ind w:left="20"/>
              <w:jc w:val="both"/>
            </w:pPr>
            <w:r>
              <w:rPr>
                <w:rFonts w:ascii="Times New Roman"/>
                <w:b w:val="false"/>
                <w:i w:val="false"/>
                <w:color w:val="000000"/>
                <w:sz w:val="20"/>
              </w:rPr>
              <w:t>
инъекцияға арналған ұнтақ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идиопатиялық артрит, жүйелік нұсқасы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p>
            <w:pPr>
              <w:spacing w:after="20"/>
              <w:ind w:left="20"/>
              <w:jc w:val="both"/>
            </w:pPr>
            <w:r>
              <w:rPr>
                <w:rFonts w:ascii="Times New Roman"/>
                <w:b w:val="false"/>
                <w:i w:val="false"/>
                <w:color w:val="000000"/>
                <w:sz w:val="20"/>
              </w:rPr>
              <w:t>
инъекция дайындау үшін ерітінді жасауға арналған концентрат,</w:t>
            </w:r>
          </w:p>
          <w:p>
            <w:pPr>
              <w:spacing w:after="20"/>
              <w:ind w:left="20"/>
              <w:jc w:val="both"/>
            </w:pPr>
            <w:r>
              <w:rPr>
                <w:rFonts w:ascii="Times New Roman"/>
                <w:b w:val="false"/>
                <w:i w:val="false"/>
                <w:color w:val="000000"/>
                <w:sz w:val="20"/>
              </w:rPr>
              <w:t>
тері астына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 таблетка, суспензия,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жақпа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 сыртқа қолдануға арналған спрей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бронхоөкпелік дисплазия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 дейінгі салмақпен өте шала туған нәрестелер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 инъекция дайындауға арналған ерітінді, ерітінді дайындауға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 (Салметерол және Флутиказон), ингаляцияларға арналған аэрозоль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(Телмисартан)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 (Телмисартан және Гидрохлортиазид)</w:t>
            </w:r>
          </w:p>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Криопиринмен байланысты мерзімді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 инфузияға арналған ерітінді дайындауға арналған лиофилизат,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вирустық C гепатиті, бауыр циррозы сатысын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Глекапревир және пибрентасвир,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қатерлі ісігі T3N0M0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Ленватиниб,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 капсула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 қабықпен қапталған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Алпелисиб,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 капсула,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Ұлпалық трансглютами-назаға қарсы денелері бар, гистологиялық немесе генетикалық расталған,</w:t>
            </w:r>
          </w:p>
          <w:p>
            <w:pPr>
              <w:spacing w:after="20"/>
              <w:ind w:left="20"/>
              <w:jc w:val="both"/>
            </w:pPr>
            <w:r>
              <w:rPr>
                <w:rFonts w:ascii="Times New Roman"/>
                <w:b w:val="false"/>
                <w:i w:val="false"/>
                <w:color w:val="000000"/>
                <w:sz w:val="20"/>
              </w:rPr>
              <w:t>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 (Декспантенол), сыртқы қолдануға арналған крем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миелобластикалық лейкоз, М3 жасушаларының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атопиялық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Дупилумаб, инъекцияға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 қабықпен қапталған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 шәрбат, тамшы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иммундық тапшылық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гамма, инфузияға арналған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Спленэктомия өткізуге қарсы көрсетілімдер-дің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 ерітінді дайындауға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спектрдің невромиелит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инфузияға арналған ерітінді дайындауға арналған концентрат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фазада</w:t>
            </w:r>
          </w:p>
          <w:p>
            <w:pPr>
              <w:spacing w:after="20"/>
              <w:ind w:left="20"/>
              <w:jc w:val="both"/>
            </w:pPr>
            <w:r>
              <w:rPr>
                <w:rFonts w:ascii="Times New Roman"/>
                <w:b w:val="false"/>
                <w:i w:val="false"/>
                <w:color w:val="000000"/>
                <w:sz w:val="20"/>
              </w:rPr>
              <w:t>
дәстүрлі терапияға толық емес жауаппен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 қабықпен қапталған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 тері астына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Құрысқан мойынқисаюы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Ботулиндік токсин, инъекцияға арналған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церебральды сал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 альфа, инфузия үшін концентрат дайындауға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ангионеврологиялық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С1-эстераза ингибиторы, инъекция дайындау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қабыну демиелинациялаушы полиневропатия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инфузияға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Амиотрофиялық бүйірлік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 жиынтығында еріткіші бар инъекцияға арналған ерітінді дайындауға арналған ұнтақ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Поналидомид, капсула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обыры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 инфузияға арналған ерітінді дайындауға арналған концентрат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 қыртысының туа біткен дисфункциясы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фазалары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ерітінді дайындауға арналған лиофилизат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Флудрокартизон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Псориатикалық артрит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тері астына енгізуге арналған ерітінді/ инъекция дайындауға арналған ерітінді лиофилденген,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 (Виллебранд факторымен қан ұюының VIII факторы), инфузияға арналған ерітіндіге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 инфузияға арналған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 (Месалазин),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диализдегі паратгормо-нының жоғары деңгейі бар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 үлбірлі қабықпен қапталған таблетка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кепілдендірілген көлемі шеңберіндегі медициналық бұйымдар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түтікше иеленушілері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катетер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қағал алмастырғыш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гастростоманы интродукциялауға арналған жиынтық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 типті шприц</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дәрілік затсыз таңғыштар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гигиеналық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жақпа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w:t>
            </w:r>
          </w:p>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Таңғышты қорғауға және бекітуге арналған серпімді қолғаптар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 жақпа, крем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 имплантация-лау, жасанды жүрек пен жүректі транспланта-циялау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үлдірлі таңғыш</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Ұлпалық трансглюта-миназаға қарсы денелері бар, гистологиялық немесе генетикалық расталған</w:t>
            </w:r>
          </w:p>
          <w:p>
            <w:pPr>
              <w:spacing w:after="20"/>
              <w:ind w:left="20"/>
              <w:jc w:val="both"/>
            </w:pPr>
            <w:r>
              <w:rPr>
                <w:rFonts w:ascii="Times New Roman"/>
                <w:b w:val="false"/>
                <w:i w:val="false"/>
                <w:color w:val="000000"/>
                <w:sz w:val="20"/>
              </w:rPr>
              <w:t>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пісіруге арналған глютенсіз қоспа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әмбебап қоспа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макарон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қызанақ соусы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печенье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вафли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кәмпиттер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түтікше иеленушілері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қышқылдарының алмасуының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тізбекті триглицеридтердің төмен қоспасы және орташа тізбекті триглициридтердің жоғары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церебральді салдану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Псевдобульбар синдромы бар гастростома иеленушілері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негізіндегі құрғақ қоспа, Энтеральді тамақтануға арналған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энергетикалық тапшылық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негізіндегі құрғақ қоспа, Энтеральді тамақтануға арналған қоспа</w:t>
            </w:r>
          </w:p>
        </w:tc>
      </w:tr>
    </w:tbl>
    <w:p>
      <w:pPr>
        <w:spacing w:after="0"/>
        <w:ind w:left="0"/>
        <w:jc w:val="both"/>
      </w:pPr>
      <w:r>
        <w:rPr>
          <w:rFonts w:ascii="Times New Roman"/>
          <w:b w:val="false"/>
          <w:i w:val="false"/>
          <w:color w:val="000000"/>
          <w:sz w:val="28"/>
        </w:rPr>
        <w:t>
      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