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e42" w14:textId="359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25 желтоқсандағы № 8С-14/2 "2024-2026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27 наурыздағы № 8С-19/3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Есіл қаласының, Красногорский кентінің, ауылдардың және ауылдық округтердің бюджеттері туралы" 2023 жылғы 25 желтоқсандағы № 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Есіл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196544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215592,9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(- 19048,9)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19048,9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Ақсай ауылының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110472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110673,4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(- 201,4)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Бұзылық ауылдық округінің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(- 2131,5)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2024-2025 жылдарға арналған Двуречный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(- 1158,4)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Жаныспай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(- 1442,8)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Заречный ауылдық округінің бюджеті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(- 1820,3)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Знаменка ауылының бюджеті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120244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120754,9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(- 510,9)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Интернациональный ауылдық округінің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Қаракөл ауылдық округінің бюджеті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(- 1746,7)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Красивинский ауылдық округінің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(- 2622,6)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Красногорск кентінің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(- 3892,4)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3892,4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Московское ауылының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95850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96138,4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(- 288,4)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Орловка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Свободный ауылдық округінің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(- 2514)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Юбилейный ауылдық округінің бюджеті тиісінше 43, 44 және 45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(- 452,8)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452,8 мың теңге.";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наурыз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- 1820,3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