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9b40" w14:textId="e209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25 желтоқсандағы № 8С-20/2 "2024-2026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22 қарашадағы № 8С-38/2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Жарқайың ауданының Державин қаласы, ауылдық округтері мен ауылдарының бюджеттері туралы" 2023 жылғы 25 желтоқсандағы № 8С-20/2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Державин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- 124 897,1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- 35 479,1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- 139 923,6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(-15 026,5)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- 15 026,5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Державин қаласының бюджетінде аудандық бюджеттен берілетін ағымдағы нысаналы трансферттер 35 479,1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Уәлихан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- 38 173,8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- 12 945,8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(-9 450,1)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- 9 450,1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бюджеттік бюджеттік субвенциялар 17 493,0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Уәлихан ауылдық округінің бюджетінде аудандық бюджеттен берілетін ағымдағы нысаналы трансферттер 7 693,0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Костычево ауылдық округінің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- 36 889,2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- 26 863,2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- 40 342,6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(-3 453,4)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- 3 453,4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бюджеттік бюджеттік субвенциялар 13 437,0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Костычево ауылдық округінің бюджетінде аудандық бюджеттен берілетін ағымдағы нысаналы трансферттер 13 426,2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Нахимов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- 27 846,5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(- 448,5)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- 448,5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бюджеттік бюджеттік субвенциялар 13 990,0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Нахимов ауылдық округінің бюджетінде аудандық бюджеттен берілетін ағымдағы нысаналы трансферттер 10 254,0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Отрадный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- 43 778,9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(-3 069,0)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- 3 069,0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бюджеттік бюджеттік субвенциялар 16 819,0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Отрадный ауылдық округінің бюджетінде аудандық бюджеттен берілетін ағымдағы нысаналы трансферттер 22 434,0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Жаңадала ауылдық округінің бюджеті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- 51 896,6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- 8 907,3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- 56 914,8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(- 5 018,2 )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- 5 018,2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бюджеттік бюджеттік субвенциялар 17 624,0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Жаңадала ауылдық округінің бюджетінде аудандық бюджеттен берілетін ағымдағы нысаналы трансферттер 25 365,3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Бірсуат ауылының бюджеті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- 32 484,5мың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Бірсуат ауылының бюджетінде аудандық бюджеттен берілетін бюджеттік бюджеттік субвенциялар 12 750,0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Бірсуат ауылының бюджетінде аудандық бюджеттен берілетін ағымдағы нысаналы трансферттер 11 855,0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Гастелло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- 31 088,8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- 21 376,8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(-550,8)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- 550,8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бюджеттік бюджеттік субвенциялар 13 767,0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Гастелло ауылының бюджетінде аудандық бюджеттен берілетін ағымдағы нысаналы трансферттер 7 609,8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Далабай ауылының бюджеті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- 26 934,7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(-1 445,4)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- 1 445,4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Далабай ауылының бюджетінде аудандық бюджеттен берілетін ағымдағы нысаналы трансферттер 11 284,7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Құмсуат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- 27 383,5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(-221,5)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- 221,5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бюджеттік бюджеттік субвенциялар 13 204,0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Құмсуат ауылының бюджетінде аудандық бюджеттен берілетін ағымдағы нысаналы трансферттер 10 792,5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Львов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- 26 117,0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- 27 230,2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(-1 113,2)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- 1 113,2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бюджеттік бюджеттік субвенциялар 13 864,0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Львов ауылының бюджетінде аудандық бюджеттен берілетін ағымдағы нысаналы трансферттер 8 953,0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Пригород ауылының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- 36 622,7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- 7 999,7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- 27 420,7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- 37 514,1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(-891,4)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- 891,4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бюджеттік бюджеттік субвенциялар 17 535,0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Пригород ауылының бюджетінде аудандық бюджеттен берілетін ағымдағы нысаналы трансферттер 9 885,7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Пятигор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- 28 613,2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(-59,8) мың 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- 59,8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бюджеттік бюджеттік субвенциялар 13 786,0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Пятигор ауылының бюджетінде аудандық бюджеттен берілетін ағымдағы нысаналы трансферттер 11 913,0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Тасөткел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- 27 747,0мың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- 27 946,5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(-199,5)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бюджеттік бюджеттік субвенциялар 13 258,0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Тасөткел ауылының бюджетінде аудандық бюджеттен берілетін ағымдағы нысаналы трансферттер 12 286,0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Тассуат ауылының бюджеті тиісінше 43, 44 және 45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- 23 534,4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- 23 599,8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- 65,4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бюджеттік бюджеттік субвенциялар 13 389,0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Тассуат ауылының бюджетінде аудандық бюджеттен берілетін ағымдағы нысаналы трансферттер 9 363,4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Үшқарасу ауылының бюджеті тиісінше 46, 47 және 48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- 19 716,0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- 19 817,3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(-101,3)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- 101,3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бюджеттік бюджеттік субвенциялар 12 832,0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Үшқарасу ауылының бюджетінде аудандық бюджеттен берілетін ағымдағы нысаналы трансферттер 6 587,0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Шойындыкөл ауылының бюджеті тиісінше 49, 50 және 51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- 32 516,7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- 8 866,5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- 40 231,6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(-7 482,4)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- 7 482,4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бюджеттік бюджеттік субвенциялар 13 744,0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Шойындыкөл ауылының бюджетінде аудандық бюджеттен берілетін ағымдағы нысаналы трансферттер 9 906,2 мың теңге сомасында қарастырылғаны ескерілсін.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салатын, сондай-ақ Қазақстан Республикасы Ұлттық Банкінің бюджетінен (шығындар сметасы) ұсталатын және қаржыландырылатын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сметасы) ұсталатын және қаржыландырылатын мемлекеттік органдар салатын айыппұлдар, өсімпұлдар, санкциялар, өсімпұлдар, Жәбірленушілерге өтемақы қорына, 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