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9e55" w14:textId="fa99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22 желтоқсандағы № 8С-18-1 "2024-2026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1 наурыздағы № 8С-23-1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2024-2026 жылдарға арналған ауылдарының, ауылдық округтерінің бюджеттері туралы" 2023 жылғы 22 желтоқсандағы № 8С-18-1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Белағаш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(-938)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Беловод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(-3311)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Жақсы ауылының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Жаңа Қийма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(-1347,6)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1347,6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Запорожье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(-843,1)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843,1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Ешім ауылдық округінің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256206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256704,4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(-498,4)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Калинин ауылдық округінің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(-4000)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Киев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Қызылсай ауылдық округінің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Тарасов ауылдық округінің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Терісаққан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(-2940,5)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Чапай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ағымдағы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Тәуелсіздік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Түктібаев көшесі (жолдың бір бөлігі - қайта өңдеу)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ауылындағы кентішілік жолдарды орташа жөндеу – 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Тәуелсіздік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ауылының Тауасар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округінің Ешім ауылындағы спорт стадионын ағымдағы жөндеу (қосымша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ауылында ұңғыма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саябақты абаттандыру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оқуға және 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