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de35" w14:textId="739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22 желтоқсандағы № 8С-18-1 "2024-2026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22 мамырдағы № 8С-26-1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2024-2026 жылдарға арналған ауылдарының, ауылдық округтерінің бюджеттері туралы" 2023 жылғы 22 желтоқсандағы № 8С-18-1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Белағаш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(-938)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Беловод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(-7594,5)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Жақсы ауылының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492688,2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451824,2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Жаңа Қийма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76230,3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6885,8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Запорожье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(-843,1)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843,1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Ешім ауылдық округінің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228817,4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218762,4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231402,6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(-2585,2)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Калинин ауылдық округінің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Киев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Қызылсай ауылдық округінің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37977,3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Новокиенка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Подгорное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Тарасов ауылдық округінің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26811,4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Терісаққан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(-2940,5)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Чапай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Тәуелсіздік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Түктібаев көшесі (жолдың бір бөлігі - қайта өңдеу)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Тәуелсіздік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ауылының Тауасар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үшін планшет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ауылында ұңғыма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және Советская көшелерінде су өткізу науаларын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 (3 апталық курстар) және іссапар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әкету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Планшетті, термопринтерді, компьютерді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арттыруға 5 күн. және іссапар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кеңсе шкафын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оқуға және 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