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8862" w14:textId="8368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2023 жылғы 26 желтоқсандағы № 8/3 "2024-2026 жылдарға арналған Сандықтау ауданының ауылдық округтер мен Мәдениет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5 наурыздағы № 10/2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"2024-2026 жылдарға арналған Сандықтау ауданының ауылдық округтерінің және Мәдениет ауылының бюджеттері туралы" 2023 жылғы 26 желтоқсандағы № 8/3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Балкашин ауылдық округінің бюджеті тиісінше 1, 1-1 және 1-2-қосымшаларға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113 675,2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117 126,0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3 450,8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2024–2026 жылдарға арналған Барақпай ауылдық округінің бюджеті тиісінше 2, 2-1 және 2-2-қосымшаларға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2024–2026 жылдарға арналған Белгород ауылдық округінің бюджеті тиісінше 3, 3-1 және 3-2-қосымшаларға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33 196,9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2024–2026 жылдарға арналған Бірлік ауылдық округінің бюджеті тиісінше 4, 4-1 және 4-2-қосымшаларға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2024–2026 жылдарға арналған Васильев ауылдық округінің бюджеті тиісінше 5, 5-1 және 5-2-қосымшаларға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6 446,0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2024–2026 жылдарға арналған Веселов ауылдық округінің бюджеті тиісінше 6, 6-1 және 6-2-қосымшаларға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2024–2026 жылдарға арналған Жамбыл ауылдық округінің бюджеті тиісінше 7, 7-1 және 7-2-қосымшаларға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2024–2026 жылдарға арналған Каменск ауылдық округінің бюджеті тиісінше 8, 8-1 және 8-2-қосымшаларға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3 393,2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2024–2026 жылдарға арналған Лесной ауылдық округінің бюджеті тиісінше 9, 9-1 және 9-2-қосымшаларға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2024–2026 жылдарға арналған Мәдениет ауылының бюджеті тиісінше 10, 10-1 және 10-2-қосымшаларға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2024–2026 жылдарға арналған Максимов ауылдық округінің бюджеті тиісінше 11, 11-1 және 11-2-қосымшаларға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2024–2026 жылдарға арналған Ақсораң ауылдық округінің бюджеті тиісінше 12, 12-1 және 12-2-қосымшаларға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30 324,0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2024–2026 жылдарға арналған Сандықтау ауылдық округінің бюджеті тиісінше 13, 13-1 және 13-2-қосымшаларға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195 242,0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184 167,0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196 958,7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2024–2026 жылдарға арналған Широков ауылдық округінің бюджеті тиісінше 14, 14-1 және 14-2-қосымшаларға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394,7 мың теңге.".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Барақпай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Белгород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Васильев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Веселов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Каменск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Максимов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Ақсораң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Сандықтау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Широков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мен Мәдениет ауылының бюджеттеріне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қысқы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жасау және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