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8fb" w14:textId="d654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8/3 "2024-2026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4 қазандағы № 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Сандықтау ауданының ауылдық округтерінің және Мәдениет ауылының бюджеттері туралы" 2023 жылғы 26 желтоқсандағы № 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Балкашин ауылдық округінің бюджеті тиісінше 1, 1-1 және 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143 444,4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98 695,9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2024–2026 жылдарға арналған Барақпай ауылдық округінің бюджеті тиісінше 2, 2-1 және 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2024–2026 жылдарға арналған Белгород ауылдық округінің бюджеті тиісінше 3, 3-1 және 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2024–2026 жылдарға арналған Бірлік ауылдық округінің бюджеті тиісінше 4, 4-1 және 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2024–2026 жылдарға арналған Васильев ауылдық округінің бюджеті тиісінше 5, 5-1 және 5-2-қосымшаларға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6 823,8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2024–2026 жылдарға арналған Жамбыл ауылдық округінің бюджеті тиісінше 7, 7-1 және 7-2-қосымшаларға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2024–2026 жылдарға арналған Каменск ауылдық округінің бюджеті тиісінше 8, 8-1 және 8-2-қосымшаларға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2024–2026 жылдарға арналған Лесной ауылдық округінің бюджеті тиісінше 9, 9-1 және 9-2-қосымшаларға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2024–2026 жылдарға арналған Мәдениет ауылының бюджеті тиісінше 10, 10-1 және 10-2-қосымшаларға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2024–2026 жылдарға арналған Максимов ауылдық округінің бюджеті тиісінше 11, 11-1 және 11-2-қосымшаларға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2024–2026 жылдарға арналған Ақсораң ауылдық округінің бюджеті тиісінше 12, 12-1 және 12-2-қосымшаларға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2024–2026 жылдарға арналған Сандықтау ауылдық округінің бюджеті тиісінше 13, 13-1 және 13-2-қосымшаларға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187 212,2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2024–2026 жылдарға арналған Широков ауылдық округінің бюджеті тиісінше 14, 14-1 және 14-2-қосымшаларға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394,7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15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Ақсораң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