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f19" w14:textId="08b0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26 желтоқсандағы № 8С-14/2 "2024-2026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31 мамырдағы № 8С-20/4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кенттердің, ауылдық округтердің бюджеттері туралы" 2023 жылғы 26 желтоқсандағы № 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276 473,5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200 635,5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(-20 000,5)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20 000,5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79 486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(-9 500)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122 045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184 568,5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(-62 523,5)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62 523,5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49 830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(-3 000)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141 561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141 561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97 544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(-2 200)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170 111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178 311,1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(-8 200,1)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37 255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(-1 500,2)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69 737,5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(-4 031,1)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30 395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(- 1 958)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1 958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