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89a3" w14:textId="f478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26 желтоқсандағы № 8С-14/2 "2024-2026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28 қарашадағы № 8С-28/2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1.Шортанды аудандық мәслихатының "2024-2026 жылдарға арналған кенттердің, ауылдық округтердің бюджеттері туралы" 2023 жылғы 26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261 861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127 822,4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281 861,5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77 191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86 691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127 323,1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86 439,8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127 323,1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105 274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107 474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160 176,7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142 072,7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168 376,8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34 515,6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36 175,6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36 229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67 476,3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71 507,4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31 748 мың теңге;";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