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6103" w14:textId="9a66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Республикасының ішкі істер органдары әскери-дәрігерлік комиссияларының әкімшілік көрсеткіштерін есептеу әдістемесін бекіту туралы" Қазақстан Республикасы Ішкі істер министрінің 2024 жылғы 11 шілдедегі № 555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18 қыркүйектегi № 699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істер органдары әскери-дәрігерлік комиссияларының әкімшілік көрсеткіштерін есептеу әдістемесін бекіту туралы" Қазақстан Республикасы Ішкі істер министрінің 2024 жылғы 11 шілдедегі № 555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 (М.Ш. Ниязов)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кәсіпорнында электронды түрде мемлекеттік және орыс тілдерінде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 (М.Ш. Ниязов) Қазақстан Республикасының заңнамасында белгіленген тәртіппен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кәсіпорнында электронды түрде мемлекеттік және орыс тілдерінде ресми жариялау және Қазақстан Республикасы нормативтік құқықтық актілерінің эталондық бақылау банкіне енгізу үшін жолдауды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