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b0bb" w14:textId="9d6b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2024 жылғы 15 шілдедегі № 191 қаулысы</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Қазақстан Республикасы Оқу-ағарту министрінің 2022 жылғы 27 тамыздағы № 381 бұйрығы (Нормативтік құқықтық актілерді мемлекеттік тіркеу тізілімінде № 29323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техникалық және кәсіптік, орта білімнен кейінгі білімі бар кадрларды даярлауға 2024-2025 оқу жылына арналған мемлекеттік білім беру тапсырысы бекітілсін.</w:t>
      </w:r>
    </w:p>
    <w:bookmarkStart w:name="z4" w:id="0"/>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0"/>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15 шілдедегі № 191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Ақтөбе облысы бойынша техникалық және кәсіптік, орта білімнен кейінгі білімі бар кадрларды даярлауға 2024-2025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01140700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теміржол көлігіндегі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аэродромдар құрылысы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 шаруашылығы және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әлеуметтiк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(ерекше білім беруге қажеттілігі бар студенттерге арналған арнайы бағдарлама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