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f7ec" w14:textId="f8df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Әйтеке би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Ақтөбе облысы Әйтеке би аудандық мәслихатының 2024 жылғы 16 қаңтардағы № 170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Әйтеке би аудандық мәслихатының 24.10.2024 </w:t>
      </w:r>
      <w:r>
        <w:rPr>
          <w:rFonts w:ascii="Times New Roman"/>
          <w:b w:val="false"/>
          <w:i w:val="false"/>
          <w:color w:val="000000"/>
          <w:sz w:val="28"/>
        </w:rPr>
        <w:t>№ 260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Әйтеке би ауданының ауылдық елді мекендерде жұмыс істейтін және тұратын "Б" корпусының мемлекеттік әкімшілік қызметшілеріне Қазақстан Республикасының заңнамасында көзделген, бірақ басшы лауазымдарды атқаратын адамдарды қоспағанда,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жылғы арналған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несие:</w:t>
      </w:r>
    </w:p>
    <w:p>
      <w:pPr>
        <w:spacing w:after="0"/>
        <w:ind w:left="0"/>
        <w:jc w:val="both"/>
      </w:pPr>
      <w:r>
        <w:rPr>
          <w:rFonts w:ascii="Times New Roman"/>
          <w:b w:val="false"/>
          <w:i w:val="false"/>
          <w:color w:val="000000"/>
          <w:sz w:val="28"/>
        </w:rPr>
        <w:t>
      -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 ауылдық елді мекендерге келген мамандар үшін айлық есептік көрсеткіштің екі мың еселенген мөлшерінен аспайтын сомада айқындалсын.</w:t>
      </w:r>
    </w:p>
    <w:bookmarkStart w:name="z4" w:id="2"/>
    <w:p>
      <w:pPr>
        <w:spacing w:after="0"/>
        <w:ind w:left="0"/>
        <w:jc w:val="both"/>
      </w:pPr>
      <w:r>
        <w:rPr>
          <w:rFonts w:ascii="Times New Roman"/>
          <w:b w:val="false"/>
          <w:i w:val="false"/>
          <w:color w:val="000000"/>
          <w:sz w:val="28"/>
        </w:rPr>
        <w:t>
      2. "Әйтеке би аудандық мәслихатының аппараты" ММ-сі заңнамада белгіленген тәртіппен:</w:t>
      </w:r>
    </w:p>
    <w:bookmarkEnd w:id="2"/>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жариялауды қамтамасыз етсін.</w:t>
      </w:r>
    </w:p>
    <w:bookmarkStart w:name="z5" w:id="3"/>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 Сейлханов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