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a838" w14:textId="75fa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"MGM Minerals" жауапкершілігі шектеулі серіктестігіне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2024 жылғы 28 тамыздағы № 217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"MGM Minerals" жауапкершілігі шектеулі серіктестігінің директоры Е.Т.Бекеновтың 2024 жылғы 26 маусымдағы ЗТ-2024-04498160 жазған өтініші негізінде, Әйтеке би ауданының әкімдігі ҚАУЛЫ ЕТЕДІ:</w:t>
      </w:r>
    </w:p>
    <w:bookmarkStart w:name="z3" w:id="0"/>
    <w:p>
      <w:pPr>
        <w:spacing w:after="0"/>
        <w:ind w:left="0"/>
        <w:jc w:val="both"/>
      </w:pPr>
      <w:r>
        <w:rPr>
          <w:rFonts w:ascii="Times New Roman"/>
          <w:b w:val="false"/>
          <w:i w:val="false"/>
          <w:color w:val="000000"/>
          <w:sz w:val="28"/>
        </w:rPr>
        <w:t>
      1. "MGM Minerals" жауапкершілігі шектеулі серіктестігіне қатты пайдалы қазбаларды барлау жұмыстарын жүргізу үшін, Әйтеке би ауданында орналасқан 762-EL лицензиясы бойынша жалпы алаңы 8107,0 гектар жер учаскелеріне жер пайдаланушылардан алып қоймай, 2026 жылдың 17 тамызына дейінгі мерзімге қауымдық сервитут белгіленсін.</w:t>
      </w:r>
    </w:p>
    <w:bookmarkEnd w:id="0"/>
    <w:bookmarkStart w:name="z4" w:id="1"/>
    <w:p>
      <w:pPr>
        <w:spacing w:after="0"/>
        <w:ind w:left="0"/>
        <w:jc w:val="both"/>
      </w:pPr>
      <w:r>
        <w:rPr>
          <w:rFonts w:ascii="Times New Roman"/>
          <w:b w:val="false"/>
          <w:i w:val="false"/>
          <w:color w:val="000000"/>
          <w:sz w:val="28"/>
        </w:rPr>
        <w:t>
      2. "Әйтеке би аудандық ауыл шаруашылығы және жер қатынастары бөлімі"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жарияланғаннан кейін Әйтеке би ауданы әкімдігінің интернет-ресурсында орналастыруды қамтамасыз етсін.</w:t>
      </w:r>
    </w:p>
    <w:bookmarkStart w:name="z5" w:id="2"/>
    <w:p>
      <w:pPr>
        <w:spacing w:after="0"/>
        <w:ind w:left="0"/>
        <w:jc w:val="both"/>
      </w:pPr>
      <w:r>
        <w:rPr>
          <w:rFonts w:ascii="Times New Roman"/>
          <w:b w:val="false"/>
          <w:i w:val="false"/>
          <w:color w:val="000000"/>
          <w:sz w:val="28"/>
        </w:rPr>
        <w:t>
      3. "MGM Minerals" жауапкершілігі шектеулі серіктестігі жер пайдаланушыларға қауымдық сервитут белгілеуден келтірілген шығынды толық көлемде өтеуді қамтамасыз етсін және пайдалы қазбаларды барлау жұмыстарын жүргізу жұмыстары аяқталғаннан кейін бүлінген жерді қалпына келтіру жұмыстарын жүргізсін.</w:t>
      </w:r>
    </w:p>
    <w:bookmarkEnd w:id="2"/>
    <w:bookmarkStart w:name="z6" w:id="3"/>
    <w:p>
      <w:pPr>
        <w:spacing w:after="0"/>
        <w:ind w:left="0"/>
        <w:jc w:val="both"/>
      </w:pPr>
      <w:r>
        <w:rPr>
          <w:rFonts w:ascii="Times New Roman"/>
          <w:b w:val="false"/>
          <w:i w:val="false"/>
          <w:color w:val="000000"/>
          <w:sz w:val="28"/>
        </w:rPr>
        <w:t>
      4. Осы қаулының орындалуын бақылау осы салаға жетекшілік ететін аудан әкімінің орынбасарына жүктелсін.</w:t>
      </w:r>
    </w:p>
    <w:bookmarkEnd w:id="3"/>
    <w:bookmarkStart w:name="z7" w:id="4"/>
    <w:p>
      <w:pPr>
        <w:spacing w:after="0"/>
        <w:ind w:left="0"/>
        <w:jc w:val="both"/>
      </w:pPr>
      <w:r>
        <w:rPr>
          <w:rFonts w:ascii="Times New Roman"/>
          <w:b w:val="false"/>
          <w:i w:val="false"/>
          <w:color w:val="000000"/>
          <w:sz w:val="28"/>
        </w:rPr>
        <w:t>
      5. Осы қаулы оның алғашқы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 </w:t>
            </w:r>
          </w:p>
          <w:p>
            <w:pPr>
              <w:spacing w:after="20"/>
              <w:ind w:left="20"/>
              <w:jc w:val="both"/>
            </w:pPr>
          </w:p>
          <w:p>
            <w:pPr>
              <w:spacing w:after="20"/>
              <w:ind w:left="20"/>
              <w:jc w:val="both"/>
            </w:pPr>
            <w:r>
              <w:rPr>
                <w:rFonts w:ascii="Times New Roman"/>
                <w:b w:val="false"/>
                <w:i/>
                <w:color w:val="000000"/>
                <w:sz w:val="20"/>
              </w:rPr>
              <w:t xml:space="preserve">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Алдабергенов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