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0eb6" w14:textId="de80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25 маусымдағы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131 522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132 017,1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86 058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85 031,8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Жайсан ауылдық округінің бюджетінде аудандық бюджеттен берілетін трансферттер көлемі – 15 890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52 751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8 991,7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54 836,7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42 279,2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681 343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562 835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720 419,9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476 379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497 991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479 553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500 019,1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48 615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68 684,1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2024 жылға арналған Тәңірберген ауылдық округінің бюджетінде аудандық бюджеттен берілетін трансферттер көлемі – 10 400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32 512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33 370,8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- 1617 мың теңге сомасында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