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6f6e" w14:textId="2b8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19 желтоқсандағы № 164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126 480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120 021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126 975,1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80 882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41 520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38 078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43 072,9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7 659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45 526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41 277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47 900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6 286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49 203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54 829,7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2024 жылға арналған Қарашай ауылдық округінің бюджетінде республикалық бюджеттен берілетін трансферттер көлемі – 83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754 595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619 555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793 671,9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453 099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506 003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482 768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508 031,1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2024 жылға арналған Сарыжар ауылдық округінің бюджетінде республикалық бюджеттен берілетін трансферттер көлемі – 54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51 828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39 169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40 027,8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7 149 мың теңге сомасында ескерілсін.";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