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000b" w14:textId="982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Талғар қаласы мен ауылдық округтерінің 2024-2026 жылдарға арналған бюджеттері туралы" Талғар аудандық мәслихатының 2024 жылғы 8 қаңтардағы № 17-67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26 шілдедегі № 28-100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2024-2026 жылдарға арналған бюджеттері туралы"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Талғар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2 133 552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2 133 552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2 190 704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57 152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57 152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57 152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Алатау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324 260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317 370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6 890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336 038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11 778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11 778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11 778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Белбұлақ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399 014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398 014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418 696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19 682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19 682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19 682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Бесағаш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571 439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570 439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583 211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11 772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11 772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11 722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Бесқайнар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98 025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67 508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30 517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115 108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17 083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17 083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17 083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Гүлдала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242 148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235 356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6 792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255 106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12 958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12 958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12 958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Кеңдала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259 558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258 758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265 003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5 445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5 445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5 445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393 739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238 527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155 212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406 381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12 642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12 642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12 642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Нұра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177 638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112 298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65 340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181 911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4 273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4 273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4 273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Панфилов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625 954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625 154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636 007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10 053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10 053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10 053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Тұздыбастау ауылдық округінің бюджеті тиісінше осы шешімнің 31, 32 және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686 892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685 892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708 471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21 579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21 579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21 579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шілдедегі № 28-100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