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cc5f" w14:textId="a5ec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қарашадағы № 760 бұйрығы</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p>
    <w:bookmarkEnd w:id="2"/>
    <w:bookmarkStart w:name="z4" w:id="3"/>
    <w:p>
      <w:pPr>
        <w:spacing w:after="0"/>
        <w:ind w:left="0"/>
        <w:jc w:val="both"/>
      </w:pPr>
      <w:r>
        <w:rPr>
          <w:rFonts w:ascii="Times New Roman"/>
          <w:b w:val="false"/>
          <w:i w:val="false"/>
          <w:color w:val="000000"/>
          <w:sz w:val="28"/>
        </w:rPr>
        <w:t>
      "Қазақстан Республикасы Жоғары Сотының жанындағы Сот төрелігі академиясы" Республикалық мемлекеттік мекемесінің көрсетілітін қызметтер" деген бөлім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Қенесінің жанындағы Сот төрелігі академиясы" Республикалық мемлекеттік мекемесі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оқу-материалдық базаны нығайтуға;</w:t>
            </w:r>
          </w:p>
          <w:p>
            <w:pPr>
              <w:spacing w:after="20"/>
              <w:ind w:left="20"/>
              <w:jc w:val="both"/>
            </w:pPr>
            <w:r>
              <w:rPr>
                <w:rFonts w:ascii="Times New Roman"/>
                <w:b w:val="false"/>
                <w:i w:val="false"/>
                <w:color w:val="000000"/>
                <w:sz w:val="20"/>
              </w:rPr>
              <w:t>
2) ақылы қызмет пен жұмыстарды өткізуге қатысқан профессорлық-оқытушы құрамның, мамандар мен қызметкерлердің еңбегіне ақы төлеу;</w:t>
            </w:r>
          </w:p>
          <w:p>
            <w:pPr>
              <w:spacing w:after="20"/>
              <w:ind w:left="20"/>
              <w:jc w:val="both"/>
            </w:pPr>
            <w:r>
              <w:rPr>
                <w:rFonts w:ascii="Times New Roman"/>
                <w:b w:val="false"/>
                <w:i w:val="false"/>
                <w:color w:val="000000"/>
                <w:sz w:val="20"/>
              </w:rPr>
              <w:t>
3) профессорлық-оқытушылық құрамның, мамандардың қызметкерлердің біліктілігін арттыруға;</w:t>
            </w:r>
          </w:p>
          <w:p>
            <w:pPr>
              <w:spacing w:after="20"/>
              <w:ind w:left="20"/>
              <w:jc w:val="both"/>
            </w:pPr>
            <w:r>
              <w:rPr>
                <w:rFonts w:ascii="Times New Roman"/>
                <w:b w:val="false"/>
                <w:i w:val="false"/>
                <w:color w:val="000000"/>
                <w:sz w:val="20"/>
              </w:rPr>
              <w:t>
4) оқыту тренингтерін, семинарларын, конференцияларын және дөңгелек үстелдерін өткізуге;</w:t>
            </w:r>
          </w:p>
          <w:p>
            <w:pPr>
              <w:spacing w:after="20"/>
              <w:ind w:left="20"/>
              <w:jc w:val="both"/>
            </w:pPr>
            <w:r>
              <w:rPr>
                <w:rFonts w:ascii="Times New Roman"/>
                <w:b w:val="false"/>
                <w:i w:val="false"/>
                <w:color w:val="000000"/>
                <w:sz w:val="20"/>
              </w:rPr>
              <w:t>
5) ғылыми-зерттеулер және басқа да іс-шаралар өткізу үшін қызметке арналған шығыс материалдарын, жабдықтар мен бағдарламалық қамтамасыз етуді сатып алуға;</w:t>
            </w:r>
          </w:p>
          <w:p>
            <w:pPr>
              <w:spacing w:after="20"/>
              <w:ind w:left="20"/>
              <w:jc w:val="both"/>
            </w:pPr>
            <w:r>
              <w:rPr>
                <w:rFonts w:ascii="Times New Roman"/>
                <w:b w:val="false"/>
                <w:i w:val="false"/>
                <w:color w:val="000000"/>
                <w:sz w:val="20"/>
              </w:rPr>
              <w:t>
6) ғылыми зерттеулердің нәтижелерін жариялау, соның ішінде ғылыми еңбектерді, оқу құралдарын редакциялауға;</w:t>
            </w:r>
          </w:p>
          <w:p>
            <w:pPr>
              <w:spacing w:after="20"/>
              <w:ind w:left="20"/>
              <w:jc w:val="both"/>
            </w:pPr>
            <w:r>
              <w:rPr>
                <w:rFonts w:ascii="Times New Roman"/>
                <w:b w:val="false"/>
                <w:i w:val="false"/>
                <w:color w:val="000000"/>
                <w:sz w:val="20"/>
              </w:rPr>
              <w:t>
7) оқыту, зерттеулер және онымен байланысты іс-шаралар үшін үй-жайларды, жабдықтарды және техниканы жалдауға;</w:t>
            </w:r>
          </w:p>
          <w:p>
            <w:pPr>
              <w:spacing w:after="20"/>
              <w:ind w:left="20"/>
              <w:jc w:val="both"/>
            </w:pPr>
            <w:r>
              <w:rPr>
                <w:rFonts w:ascii="Times New Roman"/>
                <w:b w:val="false"/>
                <w:i w:val="false"/>
                <w:color w:val="000000"/>
                <w:sz w:val="20"/>
              </w:rPr>
              <w:t>
8) конференциялар, семинарлар, дөңгелек үстелдер, кәдесыйлар, турнирлер, жарыстар аясында кофе-брейктер өткізуге, кәдесый өнімдерін сатып алуға;</w:t>
            </w:r>
          </w:p>
          <w:p>
            <w:pPr>
              <w:spacing w:after="20"/>
              <w:ind w:left="20"/>
              <w:jc w:val="both"/>
            </w:pPr>
            <w:r>
              <w:rPr>
                <w:rFonts w:ascii="Times New Roman"/>
                <w:b w:val="false"/>
                <w:i w:val="false"/>
                <w:color w:val="000000"/>
                <w:sz w:val="20"/>
              </w:rPr>
              <w:t>
9) Қазақстан Республикасының заңнамасында белгіленген іссапар шығыстарын өтеу нормалары шеңберінде ғылыми конференцияларға, семинарларға, көрмелерге және басқа да іс-шараларға қатысу бойынша зерттеу сипатындағы іссапарларға баруға;</w:t>
            </w:r>
          </w:p>
          <w:p>
            <w:pPr>
              <w:spacing w:after="20"/>
              <w:ind w:left="20"/>
              <w:jc w:val="both"/>
            </w:pPr>
            <w:r>
              <w:rPr>
                <w:rFonts w:ascii="Times New Roman"/>
                <w:b w:val="false"/>
                <w:i w:val="false"/>
                <w:color w:val="000000"/>
                <w:sz w:val="20"/>
              </w:rPr>
              <w:t>
10) аударма қызметтерін сатып алуға;</w:t>
            </w:r>
          </w:p>
          <w:p>
            <w:pPr>
              <w:spacing w:after="20"/>
              <w:ind w:left="20"/>
              <w:jc w:val="both"/>
            </w:pPr>
            <w:r>
              <w:rPr>
                <w:rFonts w:ascii="Times New Roman"/>
                <w:b w:val="false"/>
                <w:i w:val="false"/>
                <w:color w:val="000000"/>
                <w:sz w:val="20"/>
              </w:rPr>
              <w:t>
11) ақылы қызметтер көрсетуге байланысты қосымша шаруашылық шығыстарына;</w:t>
            </w:r>
          </w:p>
          <w:p>
            <w:pPr>
              <w:spacing w:after="20"/>
              <w:ind w:left="20"/>
              <w:jc w:val="both"/>
            </w:pPr>
            <w:r>
              <w:rPr>
                <w:rFonts w:ascii="Times New Roman"/>
                <w:b w:val="false"/>
                <w:i w:val="false"/>
                <w:color w:val="000000"/>
                <w:sz w:val="20"/>
              </w:rPr>
              <w:t>
12) қызметкерлерге қосымша ақы, сыйақы беруге, әлеуметтік және материалдық көмек көрсетуге жұмсалады (111, 112, 113, 116, 121, 122, 124, 131, 135, 149, 151, 152, 154,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Республикасының Заңының 63-бабының </w:t>
            </w:r>
            <w:r>
              <w:rPr>
                <w:rFonts w:ascii="Times New Roman"/>
                <w:b w:val="false"/>
                <w:i w:val="false"/>
                <w:color w:val="000000"/>
                <w:sz w:val="20"/>
              </w:rPr>
              <w:t>3-тармағы</w:t>
            </w:r>
            <w:r>
              <w:rPr>
                <w:rFonts w:ascii="Times New Roman"/>
                <w:b w:val="false"/>
                <w:i w:val="false"/>
                <w:color w:val="000000"/>
                <w:sz w:val="20"/>
              </w:rPr>
              <w:t>, "Қазақстан Республикасы Жоғары Сот Кеңесі жанындағы Сот төрелігі академиясының тауарларды (жұмыстарды, көрсетілетін қызметтерді) өткізу бойынша ақылы қызмет түрлерін көрсетуі және тауарларды (жұмыстарды, көрсетілетін қызметтерді) өткізуден түскен ақшаны жұмсауы қағидаларын бекіту туралы" Қазақстан Республикасының Жоғары Сот Кеңесінің хатшысы-аппарат басшысының 2024 жылғы 10 қазандағы № 1-9/43 өкімі.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іс-шаралар, семинарлар, кеңестер, конференциялар, спорттық жарыстар өткізуді уйымдастыру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әдебиеттерді әзірлеу мен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"Қазақстан Республикасы Бас прокуратурасының жанындағы Құқық қорғау органдарының академиясы көрсететін қызметтер" деген бөлім мынадай редакцияда жазылсын: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жанындағы Құқық қорғау органдарының академиясы көрсететін қызметтер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бағдарламаларын, оның ішінде шетелдіктер үшін әзірлеу, іске асыру (кәсіптік даярлау, қайта даярлау және біліктілігін арттыру, қабылдау емтиханына дайындау)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зерттеулер жүргізу үшін шығыс материалдарын, жабдықтарды және бағдарламалық қамтамасыз етуді сатып алу;</w:t>
            </w:r>
          </w:p>
          <w:p>
            <w:pPr>
              <w:spacing w:after="20"/>
              <w:ind w:left="20"/>
              <w:jc w:val="both"/>
            </w:pPr>
            <w:r>
              <w:rPr>
                <w:rFonts w:ascii="Times New Roman"/>
                <w:b w:val="false"/>
                <w:i w:val="false"/>
                <w:color w:val="000000"/>
                <w:sz w:val="20"/>
              </w:rPr>
              <w:t>
2) баспа және полиграфиялық өнімдерді дайындау мақсатында шығыс материалдары мен жабдықтарын сатып алу;</w:t>
            </w:r>
          </w:p>
          <w:p>
            <w:pPr>
              <w:spacing w:after="20"/>
              <w:ind w:left="20"/>
              <w:jc w:val="both"/>
            </w:pPr>
            <w:r>
              <w:rPr>
                <w:rFonts w:ascii="Times New Roman"/>
                <w:b w:val="false"/>
                <w:i w:val="false"/>
                <w:color w:val="000000"/>
                <w:sz w:val="20"/>
              </w:rPr>
              <w:t>
3) оқу процесін ұйымдастыру үшін оқу құралдарын, көрнекі материалдар, сондай-ақ жабдықтар, техникалық оқыту құралдарын сатып алу;</w:t>
            </w:r>
          </w:p>
          <w:p>
            <w:pPr>
              <w:spacing w:after="20"/>
              <w:ind w:left="20"/>
              <w:jc w:val="both"/>
            </w:pPr>
            <w:r>
              <w:rPr>
                <w:rFonts w:ascii="Times New Roman"/>
                <w:b w:val="false"/>
                <w:i w:val="false"/>
                <w:color w:val="000000"/>
                <w:sz w:val="20"/>
              </w:rPr>
              <w:t>
4) докторанттардың ғылыми зерттеулерінің, диссертациялық зерттеулерінің жарияланымдарын дайындау және нәтижелерін жариялау;</w:t>
            </w:r>
          </w:p>
          <w:p>
            <w:pPr>
              <w:spacing w:after="20"/>
              <w:ind w:left="20"/>
              <w:jc w:val="both"/>
            </w:pPr>
            <w:r>
              <w:rPr>
                <w:rFonts w:ascii="Times New Roman"/>
                <w:b w:val="false"/>
                <w:i w:val="false"/>
                <w:color w:val="000000"/>
                <w:sz w:val="20"/>
              </w:rPr>
              <w:t>
5) ұжымдық пайдаланудағы ғылыми зертханалардың, зерттеулерді орындау үшін қажетті ұйымдардың көрсетілетін қызметтеріне ақы төлеу, оның ішінде конференцияларға қатысу үшін ұйымдастырушылық жарналар;</w:t>
            </w:r>
          </w:p>
          <w:p>
            <w:pPr>
              <w:spacing w:after="20"/>
              <w:ind w:left="20"/>
              <w:jc w:val="both"/>
            </w:pPr>
            <w:r>
              <w:rPr>
                <w:rFonts w:ascii="Times New Roman"/>
                <w:b w:val="false"/>
                <w:i w:val="false"/>
                <w:color w:val="000000"/>
                <w:sz w:val="20"/>
              </w:rPr>
              <w:t>
6) ғылыми зерттеулер жүргізу, оқу-әдістемелік құралдар (әдістемелік, практикалық ұсынымдар) әзірлеу, ведомстволық журналдардың макеттерін дайындау шеңберінде редактор, корректор, дизайнер, беттеуші (мемлекеттік және шет тілдеріне) қызметтеріне ақы төлеу;</w:t>
            </w:r>
          </w:p>
          <w:p>
            <w:pPr>
              <w:spacing w:after="20"/>
              <w:ind w:left="20"/>
              <w:jc w:val="both"/>
            </w:pPr>
            <w:r>
              <w:rPr>
                <w:rFonts w:ascii="Times New Roman"/>
                <w:b w:val="false"/>
                <w:i w:val="false"/>
                <w:color w:val="000000"/>
                <w:sz w:val="20"/>
              </w:rPr>
              <w:t>
7) зерттеу жүргізу үшін үй-жайларды, жабдықтарды, техниканы жалға алу;</w:t>
            </w:r>
          </w:p>
          <w:p>
            <w:pPr>
              <w:spacing w:after="20"/>
              <w:ind w:left="20"/>
              <w:jc w:val="both"/>
            </w:pPr>
            <w:r>
              <w:rPr>
                <w:rFonts w:ascii="Times New Roman"/>
                <w:b w:val="false"/>
                <w:i w:val="false"/>
                <w:color w:val="000000"/>
                <w:sz w:val="20"/>
              </w:rPr>
              <w:t>
8) зерттеу процесінде пайдаланылатын жабдықтар мен техниканы күтіп- ұстау;</w:t>
            </w:r>
          </w:p>
          <w:p>
            <w:pPr>
              <w:spacing w:after="20"/>
              <w:ind w:left="20"/>
              <w:jc w:val="both"/>
            </w:pPr>
            <w:r>
              <w:rPr>
                <w:rFonts w:ascii="Times New Roman"/>
                <w:b w:val="false"/>
                <w:i w:val="false"/>
                <w:color w:val="000000"/>
                <w:sz w:val="20"/>
              </w:rPr>
              <w:t>
9) барлық салықтарды және бюджетке төленетін басқа да міндетті төлемдерді қоса алғанда, ғылыми зерттеу жүргізуге қатысатын зерттеу тобы басшысының және мүшелерінің, ведомстволық журналдардың редакциялық алқалары мүшелерінің еңбегі үшін сыйақы;</w:t>
            </w:r>
          </w:p>
          <w:p>
            <w:pPr>
              <w:spacing w:after="20"/>
              <w:ind w:left="20"/>
              <w:jc w:val="both"/>
            </w:pPr>
            <w:r>
              <w:rPr>
                <w:rFonts w:ascii="Times New Roman"/>
                <w:b w:val="false"/>
                <w:i w:val="false"/>
                <w:color w:val="000000"/>
                <w:sz w:val="20"/>
              </w:rPr>
              <w:t>
10) ақылы негізде көрсетілетін қызметтер мен жұмыстарды іске асыру үшін тартылатын мамандарға еңбекақы, Академия қызметкерлеріне сыйақы төлеу;</w:t>
            </w:r>
          </w:p>
          <w:p>
            <w:pPr>
              <w:spacing w:after="20"/>
              <w:ind w:left="20"/>
              <w:jc w:val="both"/>
            </w:pPr>
            <w:r>
              <w:rPr>
                <w:rFonts w:ascii="Times New Roman"/>
                <w:b w:val="false"/>
                <w:i w:val="false"/>
                <w:color w:val="000000"/>
                <w:sz w:val="20"/>
              </w:rPr>
              <w:t>
11) ғылыми-білім беру іс-шараларын (конференциялар, семинарлар, дөңгелек үстелдер) өткізу, кофе-брейк ұйымдастырып, кәдесый, геральдикалық өнім, естелік сыйлықтарды қоса сатып алу;</w:t>
            </w:r>
          </w:p>
          <w:p>
            <w:pPr>
              <w:spacing w:after="20"/>
              <w:ind w:left="20"/>
              <w:jc w:val="both"/>
            </w:pPr>
            <w:r>
              <w:rPr>
                <w:rFonts w:ascii="Times New Roman"/>
                <w:b w:val="false"/>
                <w:i w:val="false"/>
                <w:color w:val="000000"/>
                <w:sz w:val="20"/>
              </w:rPr>
              <w:t>
12) ғылыми зерттеулер жүргізу шеңберінде банк қызметтеріне ақы төлеу;</w:t>
            </w:r>
          </w:p>
          <w:p>
            <w:pPr>
              <w:spacing w:after="20"/>
              <w:ind w:left="20"/>
              <w:jc w:val="both"/>
            </w:pPr>
            <w:r>
              <w:rPr>
                <w:rFonts w:ascii="Times New Roman"/>
                <w:b w:val="false"/>
                <w:i w:val="false"/>
                <w:color w:val="000000"/>
                <w:sz w:val="20"/>
              </w:rPr>
              <w:t>
13) оқу-материалдық базаны нығайту;</w:t>
            </w:r>
          </w:p>
          <w:p>
            <w:pPr>
              <w:spacing w:after="20"/>
              <w:ind w:left="20"/>
              <w:jc w:val="both"/>
            </w:pPr>
            <w:r>
              <w:rPr>
                <w:rFonts w:ascii="Times New Roman"/>
                <w:b w:val="false"/>
                <w:i w:val="false"/>
                <w:color w:val="000000"/>
                <w:sz w:val="20"/>
              </w:rPr>
              <w:t>
14) қосымша оқу бағдарламалары бойынша оқу процесін ұйымдастыру, оқыту тренингтерін, семинарларын өткізу;</w:t>
            </w:r>
          </w:p>
          <w:p>
            <w:pPr>
              <w:spacing w:after="20"/>
              <w:ind w:left="20"/>
              <w:jc w:val="both"/>
            </w:pPr>
            <w:r>
              <w:rPr>
                <w:rFonts w:ascii="Times New Roman"/>
                <w:b w:val="false"/>
                <w:i w:val="false"/>
                <w:color w:val="000000"/>
                <w:sz w:val="20"/>
              </w:rPr>
              <w:t>
15) Академияның оқу, ғылыми және әдістемелік материалдарын, ведомстволық журналдарын басып шығару;</w:t>
            </w:r>
          </w:p>
          <w:p>
            <w:pPr>
              <w:spacing w:after="20"/>
              <w:ind w:left="20"/>
              <w:jc w:val="both"/>
            </w:pPr>
            <w:r>
              <w:rPr>
                <w:rFonts w:ascii="Times New Roman"/>
                <w:b w:val="false"/>
                <w:i w:val="false"/>
                <w:color w:val="000000"/>
                <w:sz w:val="20"/>
              </w:rPr>
              <w:t>
16) Академия қызметкерлерінің біліктілігін арттыру;</w:t>
            </w:r>
          </w:p>
          <w:p>
            <w:pPr>
              <w:spacing w:after="20"/>
              <w:ind w:left="20"/>
              <w:jc w:val="both"/>
            </w:pPr>
            <w:r>
              <w:rPr>
                <w:rFonts w:ascii="Times New Roman"/>
                <w:b w:val="false"/>
                <w:i w:val="false"/>
                <w:color w:val="000000"/>
                <w:sz w:val="20"/>
              </w:rPr>
              <w:t xml:space="preserve">
17)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0"/>
              </w:rPr>
              <w:t>қаулысында</w:t>
            </w:r>
            <w:r>
              <w:rPr>
                <w:rFonts w:ascii="Times New Roman"/>
                <w:b w:val="false"/>
                <w:i w:val="false"/>
                <w:color w:val="000000"/>
                <w:sz w:val="20"/>
              </w:rPr>
              <w:t xml:space="preserve"> белгіленген іс-сапар шығыстарын өтеу нормалары шегінде іс-сапар шығыстары, оның ішінде халықаралық іс-сапар шығыстары;</w:t>
            </w:r>
          </w:p>
          <w:p>
            <w:pPr>
              <w:spacing w:after="20"/>
              <w:ind w:left="20"/>
              <w:jc w:val="both"/>
            </w:pPr>
            <w:r>
              <w:rPr>
                <w:rFonts w:ascii="Times New Roman"/>
                <w:b w:val="false"/>
                <w:i w:val="false"/>
                <w:color w:val="000000"/>
                <w:sz w:val="20"/>
              </w:rPr>
              <w:t>
18) бейнероликтер, бейнефильмдер, аудиожазбалар дайындау;</w:t>
            </w:r>
          </w:p>
          <w:p>
            <w:pPr>
              <w:spacing w:after="20"/>
              <w:ind w:left="20"/>
              <w:jc w:val="both"/>
            </w:pPr>
            <w:r>
              <w:rPr>
                <w:rFonts w:ascii="Times New Roman"/>
                <w:b w:val="false"/>
                <w:i w:val="false"/>
                <w:color w:val="000000"/>
                <w:sz w:val="20"/>
              </w:rPr>
              <w:t>
19) ғылыми-білім беру іс-шараларына, жарыстарға, олимпиадаларға, оның ішінде халықаралық жарыстарға қатысушылардың тамақтануына арналған шығыстарды жабу;</w:t>
            </w:r>
          </w:p>
          <w:p>
            <w:pPr>
              <w:spacing w:after="20"/>
              <w:ind w:left="20"/>
              <w:jc w:val="both"/>
            </w:pPr>
            <w:r>
              <w:rPr>
                <w:rFonts w:ascii="Times New Roman"/>
                <w:b w:val="false"/>
                <w:i w:val="false"/>
                <w:color w:val="000000"/>
                <w:sz w:val="20"/>
              </w:rPr>
              <w:t>
20) көлік қызметтеріне ақы төлеу;</w:t>
            </w:r>
          </w:p>
          <w:p>
            <w:pPr>
              <w:spacing w:after="20"/>
              <w:ind w:left="20"/>
              <w:jc w:val="both"/>
            </w:pPr>
            <w:r>
              <w:rPr>
                <w:rFonts w:ascii="Times New Roman"/>
                <w:b w:val="false"/>
                <w:i w:val="false"/>
                <w:color w:val="000000"/>
                <w:sz w:val="20"/>
              </w:rPr>
              <w:t>
21) кітапхана қорларын толықтыру үшін электрондық коллекциялар мен дерекқорларды сатып алу;</w:t>
            </w:r>
          </w:p>
          <w:p>
            <w:pPr>
              <w:spacing w:after="20"/>
              <w:ind w:left="20"/>
              <w:jc w:val="both"/>
            </w:pPr>
            <w:r>
              <w:rPr>
                <w:rFonts w:ascii="Times New Roman"/>
                <w:b w:val="false"/>
                <w:i w:val="false"/>
                <w:color w:val="000000"/>
                <w:sz w:val="20"/>
              </w:rPr>
              <w:t>
22) ғылыми еңбектерді, құралдарды, ведомстволық журналдар макеттерін рецензиялау, түзету, редакторлық оқу бағыттары бойынша жұмсалады  (111, 112, 116, 121, 122,124, 131, 135, 136, 149, 151, 152, 153, 154, 157, 158,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63-бабының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 Бас прокуратурасының жанындағы Құқық қорғау органдары академиясының тауарларды (жұмыстарды, көрсетілетін қызметтерді) өткізуі бойынша ақылы қызмет түрлерін көрсету және оның тауарларды (жұмыстарды, көрсетілетін қызметтерді) өткізуден түскен ақшаны жұмсау қағидаларын бекіту туралы" Қазақстан Республикасының Бас прокуратурасының 2018 жылғы 10 желтоқсандағы № 135 </w:t>
            </w:r>
            <w:r>
              <w:rPr>
                <w:rFonts w:ascii="Times New Roman"/>
                <w:b w:val="false"/>
                <w:i w:val="false"/>
                <w:color w:val="000000"/>
                <w:sz w:val="20"/>
              </w:rPr>
              <w:t>бұйрығы</w:t>
            </w:r>
            <w:r>
              <w:rPr>
                <w:rFonts w:ascii="Times New Roman"/>
                <w:b w:val="false"/>
                <w:i w:val="false"/>
                <w:color w:val="000000"/>
                <w:sz w:val="20"/>
              </w:rPr>
              <w:t xml:space="preserve"> (Нормативтiк құқықтық актiлерді мемлекеттiк тіркеу тізілімінде № 17918 болып тіркелді).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тәжірибелік-конструкторлық жұмыстар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баспа және полиграфиялық өнімдерді әзірлеу және (немесе)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білім беру стандарттары талаптарынан тыс жоғары оқу орнынан кейінгі білім беру бағдарламаларын іске асыру, оның ішінде ақылы негізде өзге азаматтық жоғары білім беру мекемелері докторанттарының пререквизиттер мен постреквизиттерді тапсыруы, диссертация қорғауы, сондай-ақ шетелдіктер үшін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курстардың, тренингтердің, дөңгелек үстелдердің және өзге де іс-шаралардың материалдарын өткізу, сондай-ақ көрсетілген іс-шараларды (оның ішінде онлайн өткізуді) ұйымдастыру, өткізу немесе осындай шараларға дәрісші ретінде қатысу жатады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