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b8f9" w14:textId="a62b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 оның аумақтық органдары және мамандандырылған мемлекеттік мекемелеріне көлік қызметін көрсету үшін арнайы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2 сәуірдегі № 93-НҚ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 агенттігіне, оның аумақтық органдары мен мамандандырылған мемлекеттік мекемесіне көлік қызметін көрсетуге арналған арнайы көлік құралдарының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Қаржылық мониторинг агенттігіне, оның аумақтық органдары және мамандандырылған мемлекеттік мекемесіне көлік қызметін көрсетуге арналған арнайы көлік құралдарының заттай нормаларын бекіту туралы" Қазақстан Республикасы Қаржылық мониторинг агенттігі Төрағасының 2021 жылғы 29 қазандағы № 317-НҚ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Республикасының Қаржылық мониторинг агенттігінің Әкімшілік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бұйрыққа қол қойылғаннан кейін күнтізбелік он күн ішінде оны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Қаржылық мониторинг агенттігінің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Республикасының Қаржылық мониторинг агенттігі Аппаратының басшысына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 агенттігі</w:t>
            </w:r>
            <w:r>
              <w:br/>
            </w:r>
            <w:r>
              <w:rPr>
                <w:rFonts w:ascii="Times New Roman"/>
                <w:b w:val="false"/>
                <w:i w:val="false"/>
                <w:color w:val="000000"/>
                <w:sz w:val="20"/>
              </w:rPr>
              <w:t xml:space="preserve">Төрағасының </w:t>
            </w:r>
            <w:r>
              <w:br/>
            </w:r>
            <w:r>
              <w:rPr>
                <w:rFonts w:ascii="Times New Roman"/>
                <w:b w:val="false"/>
                <w:i w:val="false"/>
                <w:color w:val="000000"/>
                <w:sz w:val="20"/>
              </w:rPr>
              <w:t>2024 жылғы 2 сәуірдегі</w:t>
            </w:r>
            <w:r>
              <w:br/>
            </w:r>
            <w:r>
              <w:rPr>
                <w:rFonts w:ascii="Times New Roman"/>
                <w:b w:val="false"/>
                <w:i w:val="false"/>
                <w:color w:val="000000"/>
                <w:sz w:val="20"/>
              </w:rPr>
              <w:t>№ 93-НҚ бұйрығымен</w:t>
            </w:r>
            <w:r>
              <w:br/>
            </w:r>
            <w:r>
              <w:rPr>
                <w:rFonts w:ascii="Times New Roman"/>
                <w:b w:val="false"/>
                <w:i w:val="false"/>
                <w:color w:val="000000"/>
                <w:sz w:val="20"/>
              </w:rPr>
              <w:t xml:space="preserve"> бекітілген</w:t>
            </w:r>
          </w:p>
        </w:tc>
      </w:tr>
    </w:tbl>
    <w:bookmarkStart w:name="z10" w:id="8"/>
    <w:p>
      <w:pPr>
        <w:spacing w:after="0"/>
        <w:ind w:left="0"/>
        <w:jc w:val="left"/>
      </w:pPr>
      <w:r>
        <w:rPr>
          <w:rFonts w:ascii="Times New Roman"/>
          <w:b/>
          <w:i w:val="false"/>
          <w:color w:val="000000"/>
        </w:rPr>
        <w:t xml:space="preserve"> Қазақстан Республикасының Қаржылық мониторинг агенттігіне, оның аумақтық органдары мен мамандандырылған мемлекеттік мекемесіне көлік қызметін көрсетуге арналған арнайы көлік құралдарының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Арнайы көлік құралдарын </w:t>
            </w:r>
            <w:r>
              <w:rPr>
                <w:rFonts w:ascii="Times New Roman"/>
                <w:b/>
                <w:i w:val="false"/>
                <w:color w:val="000000"/>
                <w:sz w:val="20"/>
              </w:rPr>
              <w:t>пайдалануға құқығы бар құрылымдық бөлімшенің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 көлік құралдарының заттай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және жолаушылар автобустарының шассилерінде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 жүру лимиті айына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50-ден 60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60-тан 80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80-нен 83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83-ден 90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90-нан және одан жоғары штаттық бірлікке дейін облыстар, республикалық маңызы бар қалалар және астана бойынша Экономикалық тергеп-тексеру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агенттігінің Кинологиялық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11"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жеңіл, жүк автомобильдерінің және жолаушылар автобустары мен шағын автобустардың шассиіндегі қозғалтқыш көлемі автомобиль моделіне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