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0dcb" w14:textId="6840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8 ақпандағы № 45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"Қазақстан Республикасы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8 ақпандағы</w:t>
            </w:r>
            <w:r>
              <w:br/>
            </w:r>
            <w:r>
              <w:rPr>
                <w:rFonts w:ascii="Times New Roman"/>
                <w:b w:val="false"/>
                <w:i w:val="false"/>
                <w:color w:val="000000"/>
                <w:sz w:val="20"/>
              </w:rPr>
              <w:t>№ 45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11-3/1070 бұйрығына</w:t>
            </w:r>
            <w:r>
              <w:br/>
            </w:r>
            <w:r>
              <w:rPr>
                <w:rFonts w:ascii="Times New Roman"/>
                <w:b w:val="false"/>
                <w:i w:val="false"/>
                <w:color w:val="000000"/>
                <w:sz w:val="20"/>
              </w:rPr>
              <w:t>1-қосымша</w:t>
            </w:r>
          </w:p>
        </w:tc>
      </w:tr>
    </w:tbl>
    <w:bookmarkStart w:name="z17" w:id="9"/>
    <w:p>
      <w:pPr>
        <w:spacing w:after="0"/>
        <w:ind w:left="0"/>
        <w:jc w:val="left"/>
      </w:pPr>
      <w:r>
        <w:rPr>
          <w:rFonts w:ascii="Times New Roman"/>
          <w:b/>
          <w:i w:val="false"/>
          <w:color w:val="000000"/>
        </w:rPr>
        <w:t xml:space="preserve">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субъектілердi инспекциялық және жедел басқаруды жүргiзу үшiн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базасындағы көлік құралы, бензинді, қозғалтқыш көлемі 3000 текше сантиметрге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комитетінің облыстық аумақтық инспекциялары,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bookmarkStart w:name="z18" w:id="10"/>
    <w:p>
      <w:pPr>
        <w:spacing w:after="0"/>
        <w:ind w:left="0"/>
        <w:jc w:val="both"/>
      </w:pPr>
      <w:r>
        <w:rPr>
          <w:rFonts w:ascii="Times New Roman"/>
          <w:b w:val="false"/>
          <w:i w:val="false"/>
          <w:color w:val="000000"/>
          <w:sz w:val="28"/>
        </w:rPr>
        <w:t>
      Ескертпе:* арнайы көлік құралы – шаруашылық субъектілердi инспекциялық және жедел басқаруды жүргiзуге арналған жеңіл автомобиль базасындағы көлік құралы.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