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7e8f" w14:textId="ead7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Екпін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Абай облысы Ақсуат ауданы мәслихатының 2024 жылғы 24 сәуірдегі № 15/5-VIII шешімі</w:t>
      </w:r>
    </w:p>
    <w:p>
      <w:pPr>
        <w:spacing w:after="0"/>
        <w:ind w:left="0"/>
        <w:jc w:val="both"/>
      </w:pPr>
      <w:bookmarkStart w:name="z5"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Екпін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№15/5-VIII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Екпін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Екпін ауылдық округі бойынша 2024-2025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Екпін ауылдық округінің жалпы көлемі 129 690 га, оның ішінде жайылымдық жерлер- 99 859 га, суармалары жерлер – 3132 га, шабындық жерлер – 8009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129690 га;</w:t>
      </w:r>
    </w:p>
    <w:bookmarkEnd w:id="18"/>
    <w:bookmarkStart w:name="z26" w:id="19"/>
    <w:p>
      <w:pPr>
        <w:spacing w:after="0"/>
        <w:ind w:left="0"/>
        <w:jc w:val="both"/>
      </w:pPr>
      <w:r>
        <w:rPr>
          <w:rFonts w:ascii="Times New Roman"/>
          <w:b w:val="false"/>
          <w:i w:val="false"/>
          <w:color w:val="000000"/>
          <w:sz w:val="28"/>
        </w:rPr>
        <w:t>
      Елді мекен жерлері – 10313,5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пункті, 1 мал сою алаңдары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Екпін ауылдық округі Ақсуат ауданының орталық бөлігінде орналасқан, оның ауданы 129,69 мың га, бұл аудан алаңының 5,5 % құрайды.</w:t>
      </w:r>
    </w:p>
    <w:bookmarkEnd w:id="23"/>
    <w:bookmarkStart w:name="z31" w:id="24"/>
    <w:p>
      <w:pPr>
        <w:spacing w:after="0"/>
        <w:ind w:left="0"/>
        <w:jc w:val="both"/>
      </w:pPr>
      <w:r>
        <w:rPr>
          <w:rFonts w:ascii="Times New Roman"/>
          <w:b w:val="false"/>
          <w:i w:val="false"/>
          <w:color w:val="000000"/>
          <w:sz w:val="28"/>
        </w:rPr>
        <w:t>
      Солтүстігі мен батысында Сатпаев ауылдық округ жерлерімен шектеседі, шығыста Ақсуат және Құмкөл ауылдық округтердің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аудан орталығы – Ақсуат ауылынан 5 км жерде орналасқан Екпін ауылы болып табылады. </w:t>
      </w:r>
    </w:p>
    <w:bookmarkEnd w:id="25"/>
    <w:bookmarkStart w:name="z33" w:id="26"/>
    <w:p>
      <w:pPr>
        <w:spacing w:after="0"/>
        <w:ind w:left="0"/>
        <w:jc w:val="both"/>
      </w:pPr>
      <w:r>
        <w:rPr>
          <w:rFonts w:ascii="Times New Roman"/>
          <w:b w:val="false"/>
          <w:i w:val="false"/>
          <w:color w:val="000000"/>
          <w:sz w:val="28"/>
        </w:rPr>
        <w:t>
      Аудан орталығымен көлік байланысы облысы маңызы бар Ақсуат – Екпін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6"/>
    <w:bookmarkStart w:name="z34" w:id="27"/>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3253 бас ірі қара мал, 409 бас жылқы және 5934 бас қой мен ешкі бар.</w:t>
      </w:r>
    </w:p>
    <w:bookmarkEnd w:id="27"/>
    <w:bookmarkStart w:name="z35" w:id="28"/>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8"/>
    <w:bookmarkStart w:name="z36" w:id="29"/>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29"/>
    <w:bookmarkStart w:name="z37" w:id="30"/>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0"/>
    <w:bookmarkStart w:name="z38" w:id="31"/>
    <w:p>
      <w:pPr>
        <w:spacing w:after="0"/>
        <w:ind w:left="0"/>
        <w:jc w:val="left"/>
      </w:pPr>
      <w:r>
        <w:rPr>
          <w:rFonts w:ascii="Times New Roman"/>
          <w:b/>
          <w:i w:val="false"/>
          <w:color w:val="000000"/>
        </w:rPr>
        <w:t xml:space="preserve"> ЖАЙЫЛЫМ АУМАҒЫН ҰЙЫМДАСТЫРУ</w:t>
      </w:r>
    </w:p>
    <w:bookmarkEnd w:id="31"/>
    <w:bookmarkStart w:name="z39" w:id="32"/>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2"/>
    <w:bookmarkStart w:name="z40" w:id="33"/>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3"/>
    <w:bookmarkStart w:name="z41" w:id="34"/>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4"/>
    <w:bookmarkStart w:name="z42" w:id="35"/>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5"/>
    <w:bookmarkStart w:name="z43" w:id="36"/>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6"/>
    <w:bookmarkStart w:name="z44" w:id="37"/>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7"/>
    <w:bookmarkStart w:name="z45" w:id="38"/>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8"/>
    <w:bookmarkStart w:name="z46" w:id="39"/>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39"/>
    <w:bookmarkStart w:name="z47" w:id="40"/>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0"/>
    <w:bookmarkStart w:name="z48" w:id="41"/>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1"/>
    <w:bookmarkStart w:name="z49" w:id="42"/>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2"/>
    <w:bookmarkStart w:name="z50" w:id="43"/>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3"/>
    <w:bookmarkStart w:name="z51" w:id="44"/>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4"/>
    <w:bookmarkStart w:name="z52" w:id="45"/>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409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5"/>
    <w:bookmarkStart w:name="z53" w:id="46"/>
    <w:p>
      <w:pPr>
        <w:spacing w:after="0"/>
        <w:ind w:left="0"/>
        <w:jc w:val="both"/>
      </w:pPr>
      <w:r>
        <w:rPr>
          <w:rFonts w:ascii="Times New Roman"/>
          <w:b w:val="false"/>
          <w:i w:val="false"/>
          <w:color w:val="000000"/>
          <w:sz w:val="28"/>
        </w:rPr>
        <w:t>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5934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w:t>
      </w:r>
    </w:p>
    <w:bookmarkEnd w:id="46"/>
    <w:bookmarkStart w:name="z54" w:id="47"/>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ІҚМ</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3253</w:t>
            </w:r>
          </w:p>
          <w:p>
            <w:pPr>
              <w:spacing w:after="20"/>
              <w:ind w:left="20"/>
              <w:jc w:val="both"/>
            </w:pPr>
            <w:r>
              <w:rPr>
                <w:rFonts w:ascii="Times New Roman"/>
                <w:b w:val="false"/>
                <w:i w:val="false"/>
                <w:color w:val="000000"/>
                <w:sz w:val="20"/>
              </w:rPr>
              <w:t>
</w:t>
            </w:r>
            <w:r>
              <w:rPr>
                <w:rFonts w:ascii="Times New Roman"/>
                <w:b w:val="false"/>
                <w:i w:val="false"/>
                <w:color w:val="000000"/>
                <w:sz w:val="20"/>
              </w:rPr>
              <w:t>5934</w:t>
            </w:r>
          </w:p>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207865</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130120</w:t>
            </w:r>
          </w:p>
          <w:p>
            <w:pPr>
              <w:spacing w:after="20"/>
              <w:ind w:left="20"/>
              <w:jc w:val="both"/>
            </w:pPr>
            <w:r>
              <w:rPr>
                <w:rFonts w:ascii="Times New Roman"/>
                <w:b w:val="false"/>
                <w:i w:val="false"/>
                <w:color w:val="000000"/>
                <w:sz w:val="20"/>
              </w:rPr>
              <w:t>
</w:t>
            </w:r>
            <w:r>
              <w:rPr>
                <w:rFonts w:ascii="Times New Roman"/>
                <w:b w:val="false"/>
                <w:i w:val="false"/>
                <w:color w:val="000000"/>
                <w:sz w:val="20"/>
              </w:rPr>
              <w:t>59340</w:t>
            </w:r>
          </w:p>
          <w:p>
            <w:pPr>
              <w:spacing w:after="20"/>
              <w:ind w:left="20"/>
              <w:jc w:val="both"/>
            </w:pPr>
            <w:r>
              <w:rPr>
                <w:rFonts w:ascii="Times New Roman"/>
                <w:b w:val="false"/>
                <w:i w:val="false"/>
                <w:color w:val="000000"/>
                <w:sz w:val="20"/>
              </w:rPr>
              <w:t>
18405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20786,5</w:t>
            </w:r>
          </w:p>
        </w:tc>
      </w:tr>
    </w:tbl>
    <w:bookmarkStart w:name="z66" w:id="52"/>
    <w:p>
      <w:pPr>
        <w:spacing w:after="0"/>
        <w:ind w:left="0"/>
        <w:jc w:val="left"/>
      </w:pPr>
      <w:r>
        <w:rPr>
          <w:rFonts w:ascii="Times New Roman"/>
          <w:b/>
          <w:i w:val="false"/>
          <w:color w:val="000000"/>
        </w:rPr>
        <w:t xml:space="preserve"> ЖЕРДІ ПАЙДАЛАНУДЫҢ ЕРЕКШЕ РЕЖИМІ БАР АУМАҚ</w:t>
      </w:r>
    </w:p>
    <w:bookmarkEnd w:id="52"/>
    <w:bookmarkStart w:name="z67" w:id="53"/>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3"/>
    <w:bookmarkStart w:name="z68" w:id="54"/>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54"/>
    <w:bookmarkStart w:name="z69" w:id="55"/>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5"/>
    <w:bookmarkStart w:name="z70" w:id="56"/>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56"/>
    <w:bookmarkStart w:name="z71" w:id="57"/>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57"/>
    <w:bookmarkStart w:name="z72" w:id="58"/>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58"/>
    <w:bookmarkStart w:name="z73" w:id="59"/>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59"/>
    <w:bookmarkStart w:name="z74" w:id="60"/>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0"/>
    <w:bookmarkStart w:name="z75" w:id="61"/>
    <w:p>
      <w:pPr>
        <w:spacing w:after="0"/>
        <w:ind w:left="0"/>
        <w:jc w:val="both"/>
      </w:pPr>
      <w:r>
        <w:rPr>
          <w:rFonts w:ascii="Times New Roman"/>
          <w:b w:val="false"/>
          <w:i w:val="false"/>
          <w:color w:val="000000"/>
          <w:sz w:val="28"/>
        </w:rPr>
        <w:t>
      Су қорғау аймақтарының шегінде:</w:t>
      </w:r>
    </w:p>
    <w:bookmarkEnd w:id="61"/>
    <w:bookmarkStart w:name="z76" w:id="62"/>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2"/>
    <w:bookmarkStart w:name="z77" w:id="63"/>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3"/>
    <w:bookmarkStart w:name="z78" w:id="64"/>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64"/>
    <w:bookmarkStart w:name="z79" w:id="65"/>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65"/>
    <w:bookmarkStart w:name="z80" w:id="66"/>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66"/>
    <w:bookmarkStart w:name="z81" w:id="67"/>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67"/>
    <w:bookmarkStart w:name="z82" w:id="68"/>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68"/>
    <w:bookmarkStart w:name="z83" w:id="69"/>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69"/>
    <w:bookmarkStart w:name="z84" w:id="70"/>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86" w:id="7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Екпін ауылдық округі аумағында жайылымдардың орналасу схемасы</w:t>
      </w:r>
    </w:p>
    <w:bookmarkEnd w:id="71"/>
    <w:bookmarkStart w:name="z8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89" w:id="73"/>
    <w:p>
      <w:pPr>
        <w:spacing w:after="0"/>
        <w:ind w:left="0"/>
        <w:jc w:val="left"/>
      </w:pPr>
      <w:r>
        <w:rPr>
          <w:rFonts w:ascii="Times New Roman"/>
          <w:b/>
          <w:i w:val="false"/>
          <w:color w:val="000000"/>
        </w:rPr>
        <w:t xml:space="preserve"> Жайылым айналымдарының қолайлы схемасы</w:t>
      </w:r>
    </w:p>
    <w:bookmarkEnd w:id="73"/>
    <w:bookmarkStart w:name="z9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92" w:id="75"/>
    <w:p>
      <w:pPr>
        <w:spacing w:after="0"/>
        <w:ind w:left="0"/>
        <w:jc w:val="left"/>
      </w:pPr>
      <w:r>
        <w:rPr>
          <w:rFonts w:ascii="Times New Roman"/>
          <w:b/>
          <w:i w:val="false"/>
          <w:color w:val="000000"/>
        </w:rPr>
        <w:t xml:space="preserve"> Жайылымдардың, оның ішінде маусымдық жайылымдардың сыртқы жəне ішкі шекаралары мен алаңдары, жайылымдық инфрақұрылым объектілері белгіленген картасы</w:t>
      </w:r>
    </w:p>
    <w:bookmarkEnd w:id="75"/>
    <w:bookmarkStart w:name="z93"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95" w:id="77"/>
    <w:p>
      <w:pPr>
        <w:spacing w:after="0"/>
        <w:ind w:left="0"/>
        <w:jc w:val="left"/>
      </w:pPr>
      <w:r>
        <w:rPr>
          <w:rFonts w:ascii="Times New Roman"/>
          <w:b/>
          <w:i w:val="false"/>
          <w:color w:val="000000"/>
        </w:rPr>
        <w:t xml:space="preserve"> Жайылым пайдаланушылардың су тұтыну нормасына сəйкес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77"/>
    <w:bookmarkStart w:name="z9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5-қосымша</w:t>
            </w:r>
          </w:p>
        </w:tc>
      </w:tr>
    </w:tbl>
    <w:bookmarkStart w:name="z98" w:id="79"/>
    <w:p>
      <w:pPr>
        <w:spacing w:after="0"/>
        <w:ind w:left="0"/>
        <w:jc w:val="left"/>
      </w:pPr>
      <w:r>
        <w:rPr>
          <w:rFonts w:ascii="Times New Roman"/>
          <w:b/>
          <w:i w:val="false"/>
          <w:color w:val="000000"/>
        </w:rPr>
        <w:t xml:space="preserve"> Жайылымы жоқ жеке жəне (немесе) заңды тұлғалардың ауыл шаруашылығы жануарларының мал басын орналастыру үшін жайылымдарды қайта бөлу жəне оны берілетін жайылымдарға ауыстыру схемасы</w:t>
      </w:r>
    </w:p>
    <w:bookmarkEnd w:id="79"/>
    <w:bookmarkStart w:name="z9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01" w:id="81"/>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жəне (немесе) заңды тұлғалардың ауыл шаруашылығы жануарларының мал басын шалғайдағы жайылымдарға орналастыру схемасы</w:t>
      </w:r>
    </w:p>
    <w:bookmarkEnd w:id="81"/>
    <w:bookmarkStart w:name="z10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04" w:id="8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3"/>
    <w:bookmarkStart w:name="z10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