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f1a5" w14:textId="1cff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ауданы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25 желтоқсандағы № 24/7-VIII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"Халық үшін қатты тұрмыстық қалдықтарды жинауға, тасымалдауға, сұрыптауға және көмуге арналған тарифті есептеу әдістемесін бекіту туралы" Қазақстан Республикасы экология, геология және табиғи ресурстар министірінің 2021 жылғы 14 қыркүйектегі № 377 (нормативтік құқықтық актілерді мемлекеттік тіркеу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ауданыны бойынша халық үшін қатты тұрмыстық қалдықтары жинауға, тасымалдауға, сұрыптауға және көмуге арналған тарифтері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аудандақ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25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ауданы бойынша халық үшін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салығынсыз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қосылған құн салығымен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тұрғын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 үшін бірлігіне (көлеміне)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