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cd28" w14:textId="447c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Қарасу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10/199-VIII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36 982,0 мың теңге, соның ішінде:</w:t>
      </w:r>
    </w:p>
    <w:p>
      <w:pPr>
        <w:spacing w:after="0"/>
        <w:ind w:left="0"/>
        <w:jc w:val="both"/>
      </w:pPr>
      <w:r>
        <w:rPr>
          <w:rFonts w:ascii="Times New Roman"/>
          <w:b w:val="false"/>
          <w:i w:val="false"/>
          <w:color w:val="000000"/>
          <w:sz w:val="28"/>
        </w:rPr>
        <w:t>
      салықтық түсімдер – 5 500,0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31 482,0 мың теңге;</w:t>
      </w:r>
    </w:p>
    <w:p>
      <w:pPr>
        <w:spacing w:after="0"/>
        <w:ind w:left="0"/>
        <w:jc w:val="both"/>
      </w:pPr>
      <w:r>
        <w:rPr>
          <w:rFonts w:ascii="Times New Roman"/>
          <w:b w:val="false"/>
          <w:i w:val="false"/>
          <w:color w:val="000000"/>
          <w:sz w:val="28"/>
        </w:rPr>
        <w:t>
      2) шығындар – 38 865,6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- 1 883,6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1 883,6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1 883,6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19/360-VIII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Қарасу ауылдық округінің бюджетіне субвенция көлемi 28 574,0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10/199-VIII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Қарасу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19/360-VIII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10/199-VIII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10/199-VIII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