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fd13" w14:textId="e72f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2023 жылғы 27 желтоқсандағы № 10/180-VIІI "2024-2026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25 сәуірдегі № 13/242-VIII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2023 жылғы 27 желтоқсандағы № 10/180-VIІI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11 378 275,7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7 546 911,0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20 634,0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3 810 730,7 мың теңге;</w:t>
      </w:r>
    </w:p>
    <w:bookmarkEnd w:id="7"/>
    <w:bookmarkStart w:name="z14" w:id="8"/>
    <w:p>
      <w:pPr>
        <w:spacing w:after="0"/>
        <w:ind w:left="0"/>
        <w:jc w:val="both"/>
      </w:pPr>
      <w:r>
        <w:rPr>
          <w:rFonts w:ascii="Times New Roman"/>
          <w:b w:val="false"/>
          <w:i w:val="false"/>
          <w:color w:val="000000"/>
          <w:sz w:val="28"/>
        </w:rPr>
        <w:t>
      2) шығындар – 11 421 027,1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-72,0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90 454,0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90 526,0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- 42 679,4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42 679,4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90 454,0 мың теңге;</w:t>
      </w:r>
    </w:p>
    <w:bookmarkEnd w:id="17"/>
    <w:bookmarkStart w:name="z24" w:id="18"/>
    <w:p>
      <w:pPr>
        <w:spacing w:after="0"/>
        <w:ind w:left="0"/>
        <w:jc w:val="both"/>
      </w:pPr>
      <w:r>
        <w:rPr>
          <w:rFonts w:ascii="Times New Roman"/>
          <w:b w:val="false"/>
          <w:i w:val="false"/>
          <w:color w:val="000000"/>
          <w:sz w:val="28"/>
        </w:rPr>
        <w:t>
      қарыздарды өтеу – 90 526,0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42 751,4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25 сәуірдегі</w:t>
            </w:r>
            <w:r>
              <w:br/>
            </w:r>
            <w:r>
              <w:rPr>
                <w:rFonts w:ascii="Times New Roman"/>
                <w:b w:val="false"/>
                <w:i w:val="false"/>
                <w:color w:val="000000"/>
                <w:sz w:val="20"/>
              </w:rPr>
              <w:t>№ 13/242-VIII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Жарма ауданының 2024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11 378 275,7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7 546 911,0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3 810 730,7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3 107 289,6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11 421 027,1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1 014 628,3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1 469 094,7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509 362,5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930 321,3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759 684,5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