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d1bb" w14:textId="9a8d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 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16 қыркүйектегі № 30-2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аудан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аудан мәслихатының 2024 жылдың 09 қыркүйектегі № 29-2 шешіміне сәйкес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599984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30755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568829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636813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- 36829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-549805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81715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–467690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–555433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3-қосымшаға сәйкес, оның ішінде 2024 жылға келесіндей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631234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255899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–372259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–676237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- 45003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-326095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–100433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8230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–217232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–380095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- 54000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323740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59450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–263990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–333278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222671 мың теңге,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27450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–194321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–259762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325590 мың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12540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312800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327590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-130940 мың теңге, оның ішінде: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16385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–114155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–135098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- 4158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95706 мың теңге, оның ішінде: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83706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95794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143653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17328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–126025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145761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105792 мың теңге, оның ішінде: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48350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56942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123465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- 17673 мың теңге.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332645 мың теңге, оның ішінде: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325775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333561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70309 мың теңге, оның ішінде: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8956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61253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179591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70791 мың теңге, оның ішінде: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–63771 мың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71965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7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8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Т.Рысқұлов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9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0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0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1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1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32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