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14f" w14:textId="a9c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Талдықорған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14 ақпандағы № 46 бірлескен қаулысы және Жетісу облыстық мәслихатының 2024 жылғы 14 ақпандағы № 14-87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>а сәйкес, Қазақстан Республикасы Үкіметінің жанындағы Республикалық ономастика комиссиясының 2020 жылғы 27 тамыздағы қорытындысы негізінде, тиісті аумақ халқының пікірін ескере отырып, Жетісу облысының әкімдігі ҚАУЛЫ ЕТЕДІ және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құрамдас бөліктеріне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"Шайқорған" тұрғын үй алабы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17 көшесіне – "Ақберген"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18 көшесіне – "Қарасу"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19 көшесіне – "Атамұра"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20 көшесіне – "Арман"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22 көшесіне – "Ақтөр"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23 көшесіне – "Дидар"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24 көшесіне – "Бұлбұл" көшесі.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"Балауса" тұрғын үй алабы бойынша: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көшесіне – "Жартас"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көшесіне – "Жайық"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көшесіне – "Созақ"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6 көшесіне – "Арал"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7 көшесіне – "Сауран"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14 көшесіне – "Несібелі"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15 көшесіне – "Жанкент" көшесі.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қаласының келесі құрамдас бөліктері қайта аталсын: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Ворошилов көшесі – "Нұрғиса Тілендиев" көшесіне;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Невский көшесі – "Абдұлхақ Абдұлхалықов" көшесіне.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Жетісу облысы әкімдігі қаулысының және Жетісу облыстық мәслихаты шешімінің орындалуын бақылау облыс әкімінің жетекшілік ететін орынбасарына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Жетісу облысы әкімдігінің қаулысы мен Жетісу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