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998" w14:textId="c263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субъектісі жүзеге асыратын жұмыстарды (көрсетілетін қызметтерді) өндірумен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4 сәуірдегі № 200/НҚ бұйрығы</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саласындағы мемлекеттік монополия субъектісі жүзеге асыратын жұмыстарды (көрсетілетін қызметтерді) өндірумен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____________ аты-жөні</w:t>
      </w:r>
    </w:p>
    <w:p>
      <w:pPr>
        <w:spacing w:after="0"/>
        <w:ind w:left="0"/>
        <w:jc w:val="both"/>
      </w:pPr>
      <w:r>
        <w:rPr>
          <w:rFonts w:ascii="Times New Roman"/>
          <w:b w:val="false"/>
          <w:i w:val="false"/>
          <w:color w:val="000000"/>
          <w:sz w:val="28"/>
        </w:rPr>
        <w:t>
      2024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4 сәуірдегі</w:t>
            </w:r>
            <w:r>
              <w:br/>
            </w:r>
            <w:r>
              <w:rPr>
                <w:rFonts w:ascii="Times New Roman"/>
                <w:b w:val="false"/>
                <w:i w:val="false"/>
                <w:color w:val="000000"/>
                <w:sz w:val="20"/>
              </w:rPr>
              <w:t>№ 200/НҚ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Байланыс саласындағы мемлекеттік монополия субъектісі жүзеге асыратын жұмыстарды (көрсетілетін қызметтерді) өндірумен технологиялық тұрғыдан байланысты қызмет түрлерінің тізбесі</w:t>
      </w:r>
    </w:p>
    <w:bookmarkEnd w:id="8"/>
    <w:bookmarkStart w:name="z11" w:id="9"/>
    <w:p>
      <w:pPr>
        <w:spacing w:after="0"/>
        <w:ind w:left="0"/>
        <w:jc w:val="both"/>
      </w:pPr>
      <w:r>
        <w:rPr>
          <w:rFonts w:ascii="Times New Roman"/>
          <w:b w:val="false"/>
          <w:i w:val="false"/>
          <w:color w:val="000000"/>
          <w:sz w:val="28"/>
        </w:rPr>
        <w:t>
      1. Қазақстан Республикасында радиожиілік спектрді перспективалық пайдаланудың жоспарын әзірлеу.</w:t>
      </w:r>
    </w:p>
    <w:bookmarkEnd w:id="9"/>
    <w:bookmarkStart w:name="z12" w:id="10"/>
    <w:p>
      <w:pPr>
        <w:spacing w:after="0"/>
        <w:ind w:left="0"/>
        <w:jc w:val="both"/>
      </w:pPr>
      <w:r>
        <w:rPr>
          <w:rFonts w:ascii="Times New Roman"/>
          <w:b w:val="false"/>
          <w:i w:val="false"/>
          <w:color w:val="000000"/>
          <w:sz w:val="28"/>
        </w:rPr>
        <w:t>
      2. Сәйкестендіру кодтарының деректер базасында жеке және заңды тұлғалардың абоненттік құрылғыларының телефон нөмірлерін тіркеу туралы мәліметтерді иә/жоқ форматында ұсыну.</w:t>
      </w:r>
    </w:p>
    <w:bookmarkEnd w:id="10"/>
    <w:bookmarkStart w:name="z13" w:id="11"/>
    <w:p>
      <w:pPr>
        <w:spacing w:after="0"/>
        <w:ind w:left="0"/>
        <w:jc w:val="both"/>
      </w:pPr>
      <w:r>
        <w:rPr>
          <w:rFonts w:ascii="Times New Roman"/>
          <w:b w:val="false"/>
          <w:i w:val="false"/>
          <w:color w:val="000000"/>
          <w:sz w:val="28"/>
        </w:rPr>
        <w:t>
      3. Абоненттік нөмірдің ұялы байланыс операторларына тиістілігі туралы мәліметтерді ұсыну.</w:t>
      </w:r>
    </w:p>
    <w:bookmarkEnd w:id="11"/>
    <w:bookmarkStart w:name="z14" w:id="12"/>
    <w:p>
      <w:pPr>
        <w:spacing w:after="0"/>
        <w:ind w:left="0"/>
        <w:jc w:val="both"/>
      </w:pPr>
      <w:r>
        <w:rPr>
          <w:rFonts w:ascii="Times New Roman"/>
          <w:b w:val="false"/>
          <w:i w:val="false"/>
          <w:color w:val="000000"/>
          <w:sz w:val="28"/>
        </w:rPr>
        <w:t>
      4. Байланыс сапасының жағдайы бойынша талдамалық жұмыстарды жүргізу.</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