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b591" w14:textId="ddfb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2024 – 2025 оқу жылына арналған мемлекеттік білім беру тапсырысын орналастыру және бөлу туралы" Қазақстан Республикасы Мәдениет және ақпарат министрінің 2024 жылғы 31 шілдедегі № 336-НҚ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12 тамыздағы № 357-НҚ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2024 – 2025 оқу жылына арналған мемлекеттік білім беру тапсырысын орналастыру және бөлу туралы" Қазақстан Республикасы Мәдениет және ақпарат министрінің 2024 жылғы 31 шілдедегі № 336-НҚ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12 тамыздағы</w:t>
            </w:r>
            <w:r>
              <w:br/>
            </w:r>
            <w:r>
              <w:rPr>
                <w:rFonts w:ascii="Times New Roman"/>
                <w:b w:val="false"/>
                <w:i w:val="false"/>
                <w:color w:val="000000"/>
                <w:sz w:val="20"/>
              </w:rPr>
              <w:t>№ 357-НҚ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336-НҚ</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2024-2025 оқу жылына техникалық және кәсіптік, орта білімнен кейінгі білімі бар кадрларды даярлауға арналған мемлекеттік білім беру тапсырысы мамандықтар бойынша орналастыру үшін техникалық және кәсіптік білім беру ұйымдарының тізбесі Мәдениет саласындағы білім беру ұйымдарында 2024-2025 оқу жылына арналған техникалық және кәсіптік, орта білімнен кейінгі білімі бар кадрларды даярлаудың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"Қазақ ұлттық өнер университеті"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p>
            <w:pPr>
              <w:spacing w:after="20"/>
              <w:ind w:left="20"/>
              <w:jc w:val="both"/>
            </w:pPr>
            <w:r>
              <w:rPr>
                <w:rFonts w:ascii="Times New Roman"/>
                <w:b w:val="false"/>
                <w:i w:val="false"/>
                <w:color w:val="000000"/>
                <w:sz w:val="20"/>
              </w:rPr>
              <w:t>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p>
            <w:pPr>
              <w:spacing w:after="20"/>
              <w:ind w:left="20"/>
              <w:jc w:val="both"/>
            </w:pPr>
            <w:r>
              <w:rPr>
                <w:rFonts w:ascii="Times New Roman"/>
                <w:b w:val="false"/>
                <w:i w:val="false"/>
                <w:color w:val="000000"/>
                <w:sz w:val="20"/>
              </w:rPr>
              <w:t>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p>
            <w:pPr>
              <w:spacing w:after="20"/>
              <w:ind w:left="20"/>
              <w:jc w:val="both"/>
            </w:pPr>
            <w:r>
              <w:rPr>
                <w:rFonts w:ascii="Times New Roman"/>
                <w:b w:val="false"/>
                <w:i w:val="false"/>
                <w:color w:val="000000"/>
                <w:sz w:val="20"/>
              </w:rPr>
              <w:t>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xml:space="preserve">
"Кескіндеме, мүсін және графика (түрлері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p>
            <w:pPr>
              <w:spacing w:after="20"/>
              <w:ind w:left="20"/>
              <w:jc w:val="both"/>
            </w:pPr>
            <w:r>
              <w:rPr>
                <w:rFonts w:ascii="Times New Roman"/>
                <w:b w:val="false"/>
                <w:i w:val="false"/>
                <w:color w:val="000000"/>
                <w:sz w:val="20"/>
              </w:rPr>
              <w:t>
"Суретші-иллюстратор"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p>
            <w:pPr>
              <w:spacing w:after="20"/>
              <w:ind w:left="20"/>
              <w:jc w:val="both"/>
            </w:pPr>
            <w:r>
              <w:rPr>
                <w:rFonts w:ascii="Times New Roman"/>
                <w:b w:val="false"/>
                <w:i w:val="false"/>
                <w:color w:val="000000"/>
                <w:sz w:val="20"/>
              </w:rPr>
              <w:t>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p>
            <w:pPr>
              <w:spacing w:after="20"/>
              <w:ind w:left="20"/>
              <w:jc w:val="both"/>
            </w:pPr>
            <w:r>
              <w:rPr>
                <w:rFonts w:ascii="Times New Roman"/>
                <w:b w:val="false"/>
                <w:i w:val="false"/>
                <w:color w:val="000000"/>
                <w:sz w:val="20"/>
              </w:rPr>
              <w:t>
"Оркестр әртісі (дирижер), балалар музыка мектебінің оқытушысы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p>
            <w:pPr>
              <w:spacing w:after="20"/>
              <w:ind w:left="20"/>
              <w:jc w:val="both"/>
            </w:pPr>
            <w:r>
              <w:rPr>
                <w:rFonts w:ascii="Times New Roman"/>
                <w:b w:val="false"/>
                <w:i w:val="false"/>
                <w:color w:val="000000"/>
                <w:sz w:val="20"/>
              </w:rPr>
              <w:t>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xml:space="preserve">
"Вокалдық өнер"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p>
            <w:pPr>
              <w:spacing w:after="20"/>
              <w:ind w:left="20"/>
              <w:jc w:val="both"/>
            </w:pPr>
            <w:r>
              <w:rPr>
                <w:rFonts w:ascii="Times New Roman"/>
                <w:b w:val="false"/>
                <w:i w:val="false"/>
                <w:color w:val="000000"/>
                <w:sz w:val="20"/>
              </w:rPr>
              <w:t>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p>
            <w:pPr>
              <w:spacing w:after="20"/>
              <w:ind w:left="20"/>
              <w:jc w:val="both"/>
            </w:pPr>
            <w:r>
              <w:rPr>
                <w:rFonts w:ascii="Times New Roman"/>
                <w:b w:val="false"/>
                <w:i w:val="false"/>
                <w:color w:val="000000"/>
                <w:sz w:val="20"/>
              </w:rPr>
              <w:t>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p>
            <w:pPr>
              <w:spacing w:after="20"/>
              <w:ind w:left="20"/>
              <w:jc w:val="both"/>
            </w:pPr>
            <w:r>
              <w:rPr>
                <w:rFonts w:ascii="Times New Roman"/>
                <w:b w:val="false"/>
                <w:i w:val="false"/>
                <w:color w:val="000000"/>
                <w:sz w:val="20"/>
              </w:rPr>
              <w:t>
"Драма театрінің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"Театр- декорациялық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p>
            <w:pPr>
              <w:spacing w:after="20"/>
              <w:ind w:left="20"/>
              <w:jc w:val="both"/>
            </w:pPr>
            <w:r>
              <w:rPr>
                <w:rFonts w:ascii="Times New Roman"/>
                <w:b w:val="false"/>
                <w:i w:val="false"/>
                <w:color w:val="000000"/>
                <w:sz w:val="20"/>
              </w:rPr>
              <w:t>
"Суретші-декораторі"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10150100 </w:t>
            </w:r>
          </w:p>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 "Туризм менеджері"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"Темірбек Жүргенов атындағы Қазақ ұлттық өнер академиясы" республикалық мемлекеттік мекемесінің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 "Музыка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02120100 "Интерьер дизайны"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 "Суретші"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 "Суретші-мүсінші"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"Қазақ ұлттық хореография академиясы" шаруашылық жүргізу құқығындағы республикалық мемлекеттік кәсіпорнының колледжі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 "Би ансамблінің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"Жүсіпбек Елебеков атындағы республикалық эстрадалық-цирк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p>
            <w:pPr>
              <w:spacing w:after="20"/>
              <w:ind w:left="20"/>
              <w:jc w:val="both"/>
            </w:pPr>
            <w:r>
              <w:rPr>
                <w:rFonts w:ascii="Times New Roman"/>
                <w:b w:val="false"/>
                <w:i w:val="false"/>
                <w:color w:val="000000"/>
                <w:sz w:val="20"/>
              </w:rPr>
              <w:t>
"Халық аспаптар оркестрінің әртісі (дирижер),</w:t>
            </w:r>
          </w:p>
          <w:p>
            <w:pPr>
              <w:spacing w:after="20"/>
              <w:ind w:left="20"/>
              <w:jc w:val="both"/>
            </w:pPr>
            <w:r>
              <w:rPr>
                <w:rFonts w:ascii="Times New Roman"/>
                <w:b w:val="false"/>
                <w:i w:val="false"/>
                <w:color w:val="000000"/>
                <w:sz w:val="20"/>
              </w:rPr>
              <w:t>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p>
            <w:pPr>
              <w:spacing w:after="20"/>
              <w:ind w:left="20"/>
              <w:jc w:val="both"/>
            </w:pPr>
            <w:r>
              <w:rPr>
                <w:rFonts w:ascii="Times New Roman"/>
                <w:b w:val="false"/>
                <w:i w:val="false"/>
                <w:color w:val="000000"/>
                <w:sz w:val="20"/>
              </w:rPr>
              <w:t>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p>
            <w:pPr>
              <w:spacing w:after="20"/>
              <w:ind w:left="20"/>
              <w:jc w:val="both"/>
            </w:pPr>
            <w:r>
              <w:rPr>
                <w:rFonts w:ascii="Times New Roman"/>
                <w:b w:val="false"/>
                <w:i w:val="false"/>
                <w:color w:val="000000"/>
                <w:sz w:val="20"/>
              </w:rPr>
              <w:t>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p>
            <w:pPr>
              <w:spacing w:after="20"/>
              <w:ind w:left="20"/>
              <w:jc w:val="both"/>
            </w:pPr>
            <w:r>
              <w:rPr>
                <w:rFonts w:ascii="Times New Roman"/>
                <w:b w:val="false"/>
                <w:i w:val="false"/>
                <w:color w:val="000000"/>
                <w:sz w:val="20"/>
              </w:rPr>
              <w:t>
"Хор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p>
            <w:pPr>
              <w:spacing w:after="20"/>
              <w:ind w:left="20"/>
              <w:jc w:val="both"/>
            </w:pPr>
            <w:r>
              <w:rPr>
                <w:rFonts w:ascii="Times New Roman"/>
                <w:b w:val="false"/>
                <w:i w:val="false"/>
                <w:color w:val="000000"/>
                <w:sz w:val="20"/>
              </w:rPr>
              <w:t>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p>
            <w:pPr>
              <w:spacing w:after="20"/>
              <w:ind w:left="20"/>
              <w:jc w:val="both"/>
            </w:pPr>
            <w:r>
              <w:rPr>
                <w:rFonts w:ascii="Times New Roman"/>
                <w:b w:val="false"/>
                <w:i w:val="false"/>
                <w:color w:val="000000"/>
                <w:sz w:val="20"/>
              </w:rPr>
              <w:t>
"Би ансамбілінің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p>
            <w:pPr>
              <w:spacing w:after="20"/>
              <w:ind w:left="20"/>
              <w:jc w:val="both"/>
            </w:pPr>
            <w:r>
              <w:rPr>
                <w:rFonts w:ascii="Times New Roman"/>
                <w:b w:val="false"/>
                <w:i w:val="false"/>
                <w:color w:val="000000"/>
                <w:sz w:val="20"/>
              </w:rPr>
              <w:t>
"Актерлік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p>
            <w:pPr>
              <w:spacing w:after="20"/>
              <w:ind w:left="20"/>
              <w:jc w:val="both"/>
            </w:pPr>
            <w:r>
              <w:rPr>
                <w:rFonts w:ascii="Times New Roman"/>
                <w:b w:val="false"/>
                <w:i w:val="false"/>
                <w:color w:val="000000"/>
                <w:sz w:val="20"/>
              </w:rPr>
              <w:t>
"Қуыршақ театрының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p>
            <w:pPr>
              <w:spacing w:after="20"/>
              <w:ind w:left="20"/>
              <w:jc w:val="both"/>
            </w:pPr>
            <w:r>
              <w:rPr>
                <w:rFonts w:ascii="Times New Roman"/>
                <w:b w:val="false"/>
                <w:i w:val="false"/>
                <w:color w:val="000000"/>
                <w:sz w:val="20"/>
              </w:rPr>
              <w:t>
"Цирк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p>
            <w:pPr>
              <w:spacing w:after="20"/>
              <w:ind w:left="20"/>
              <w:jc w:val="both"/>
            </w:pPr>
            <w:r>
              <w:rPr>
                <w:rFonts w:ascii="Times New Roman"/>
                <w:b w:val="false"/>
                <w:i w:val="false"/>
                <w:color w:val="000000"/>
                <w:sz w:val="20"/>
              </w:rPr>
              <w:t>
"Цирк әртісі, цирк жанрларының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5. "Петр Чайковский атындағы Алматы музыкалық колледжі"</w:t>
            </w:r>
          </w:p>
          <w:p>
            <w:pPr>
              <w:spacing w:after="20"/>
              <w:ind w:left="20"/>
              <w:jc w:val="both"/>
            </w:pPr>
            <w:r>
              <w:rPr>
                <w:rFonts w:ascii="Times New Roman"/>
                <w:b w:val="false"/>
                <w:i w:val="false"/>
                <w:color w:val="000000"/>
                <w:sz w:val="20"/>
              </w:rPr>
              <w:t>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 "Концертмейстер,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 "Оркестр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 "Халық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"Аспаптық орындау" (аспап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 "Эстрадалық аспаптар оркестрінің әртісі (дирижер),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 "Хорды дирижерлау"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 "Хормейстер,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 "Музыкатанушы,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 "Академиялық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 "Дәстүрлі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"Вокалдық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 "Эстрадалық ән салу әртісі, балалар музыка мектебінің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 "Дыбыс операторлық шеберлік"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 "Дыбыс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6. "Орал Таңсықбаев атындағы сәндік-қолданбалы өнер колледжі"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p>
            <w:pPr>
              <w:spacing w:after="20"/>
              <w:ind w:left="20"/>
              <w:jc w:val="both"/>
            </w:pPr>
            <w:r>
              <w:rPr>
                <w:rFonts w:ascii="Times New Roman"/>
                <w:b w:val="false"/>
                <w:i w:val="false"/>
                <w:color w:val="000000"/>
                <w:sz w:val="20"/>
              </w:rPr>
              <w:t xml:space="preserve">
"Театр декорациялық өнері </w:t>
            </w:r>
          </w:p>
          <w:p>
            <w:pPr>
              <w:spacing w:after="20"/>
              <w:ind w:left="20"/>
              <w:jc w:val="both"/>
            </w:pPr>
            <w:r>
              <w:rPr>
                <w:rFonts w:ascii="Times New Roman"/>
                <w:b w:val="false"/>
                <w:i w:val="false"/>
                <w:color w:val="000000"/>
                <w:sz w:val="20"/>
              </w:rPr>
              <w:t>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4S02150805 </w:t>
            </w:r>
          </w:p>
          <w:p>
            <w:pPr>
              <w:spacing w:after="20"/>
              <w:ind w:left="20"/>
              <w:jc w:val="both"/>
            </w:pPr>
            <w:r>
              <w:rPr>
                <w:rFonts w:ascii="Times New Roman"/>
                <w:b w:val="false"/>
                <w:i w:val="false"/>
                <w:color w:val="000000"/>
                <w:sz w:val="20"/>
              </w:rPr>
              <w:t>
"Суретші-декоратор"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"Графикалық және мультимедиялық дизайн"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 "Графикалық дизайнер"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p>
            <w:pPr>
              <w:spacing w:after="20"/>
              <w:ind w:left="20"/>
              <w:jc w:val="both"/>
            </w:pPr>
            <w:r>
              <w:rPr>
                <w:rFonts w:ascii="Times New Roman"/>
                <w:b w:val="false"/>
                <w:i w:val="false"/>
                <w:color w:val="000000"/>
                <w:sz w:val="20"/>
              </w:rPr>
              <w:t>
"Интерьер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p>
            <w:pPr>
              <w:spacing w:after="20"/>
              <w:ind w:left="20"/>
              <w:jc w:val="both"/>
            </w:pPr>
            <w:r>
              <w:rPr>
                <w:rFonts w:ascii="Times New Roman"/>
                <w:b w:val="false"/>
                <w:i w:val="false"/>
                <w:color w:val="000000"/>
                <w:sz w:val="20"/>
              </w:rPr>
              <w:t>
"Киім дизайнері"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p>
            <w:pPr>
              <w:spacing w:after="20"/>
              <w:ind w:left="20"/>
              <w:jc w:val="both"/>
            </w:pPr>
            <w:r>
              <w:rPr>
                <w:rFonts w:ascii="Times New Roman"/>
                <w:b w:val="false"/>
                <w:i w:val="false"/>
                <w:color w:val="000000"/>
                <w:sz w:val="20"/>
              </w:rPr>
              <w:t xml:space="preserve">
"Суретші </w:t>
            </w:r>
          </w:p>
          <w:p>
            <w:pPr>
              <w:spacing w:after="20"/>
              <w:ind w:left="20"/>
              <w:jc w:val="both"/>
            </w:pPr>
            <w:r>
              <w:rPr>
                <w:rFonts w:ascii="Times New Roman"/>
                <w:b w:val="false"/>
                <w:i w:val="false"/>
                <w:color w:val="000000"/>
                <w:sz w:val="20"/>
              </w:rPr>
              <w:t>
(станокты кескіндеме)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 "Кескіндеме, мүсін және графика"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p>
            <w:pPr>
              <w:spacing w:after="20"/>
              <w:ind w:left="20"/>
              <w:jc w:val="both"/>
            </w:pPr>
            <w:r>
              <w:rPr>
                <w:rFonts w:ascii="Times New Roman"/>
                <w:b w:val="false"/>
                <w:i w:val="false"/>
                <w:color w:val="000000"/>
                <w:sz w:val="20"/>
              </w:rPr>
              <w:t xml:space="preserve">
"Суретші-мүсінші"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p>
            <w:pPr>
              <w:spacing w:after="20"/>
              <w:ind w:left="20"/>
              <w:jc w:val="both"/>
            </w:pPr>
            <w:r>
              <w:rPr>
                <w:rFonts w:ascii="Times New Roman"/>
                <w:b w:val="false"/>
                <w:i w:val="false"/>
                <w:color w:val="000000"/>
                <w:sz w:val="20"/>
              </w:rPr>
              <w:t>
"Сәндік қолданбалы өнер суретшісі"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7. "Александр Селезнев атындағы Алматы хореографиялық училищесі"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және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"Хореографиялық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p>
            <w:pPr>
              <w:spacing w:after="20"/>
              <w:ind w:left="20"/>
              <w:jc w:val="both"/>
            </w:pPr>
            <w:r>
              <w:rPr>
                <w:rFonts w:ascii="Times New Roman"/>
                <w:b w:val="false"/>
                <w:i w:val="false"/>
                <w:color w:val="000000"/>
                <w:sz w:val="20"/>
              </w:rPr>
              <w:t>
"Балет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 "Хореография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4S02150702 </w:t>
            </w:r>
          </w:p>
          <w:p>
            <w:pPr>
              <w:spacing w:after="20"/>
              <w:ind w:left="20"/>
              <w:jc w:val="both"/>
            </w:pPr>
            <w:r>
              <w:rPr>
                <w:rFonts w:ascii="Times New Roman"/>
                <w:b w:val="false"/>
                <w:i w:val="false"/>
                <w:color w:val="000000"/>
                <w:sz w:val="20"/>
              </w:rPr>
              <w:t>
"Би ансамблі әртісі"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да көп бала тәрбиелеп отырған отбасылардан шыққан балалар – 5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үш жыл толық емес отбасы мәртебесі бар отбасылардағы балалар үшін – 1 пайыз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бойынша қорытынды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