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190a" w14:textId="6761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жасасу қағидаларын бекіту туралы" Қазақстан Республикасы Ақпарат және қоғамдық даму министрінің 2022 жылғы 27 қыркүйектегі № 409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22 тамыздағы № 370-НҚ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жасасу қағидаларын бекіту туралы" Қазақстан Республикасы Ақпарат және қоғамдық даму министрінің 2022 жылғы 27 қыркүйектегі № 409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жасасу </w:t>
      </w:r>
      <w:r>
        <w:rPr>
          <w:rFonts w:ascii="Times New Roman"/>
          <w:b w:val="false"/>
          <w:i w:val="false"/>
          <w:color w:val="000000"/>
          <w:sz w:val="28"/>
        </w:rPr>
        <w:t>қағидасының</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3"/>
    <w:bookmarkStart w:name="z4" w:id="4"/>
    <w:p>
      <w:pPr>
        <w:spacing w:after="0"/>
        <w:ind w:left="0"/>
        <w:jc w:val="both"/>
      </w:pPr>
      <w:r>
        <w:rPr>
          <w:rFonts w:ascii="Times New Roman"/>
          <w:b w:val="false"/>
          <w:i w:val="false"/>
          <w:color w:val="000000"/>
          <w:sz w:val="28"/>
        </w:rPr>
        <w:t>
      "2)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4"/>
    <w:bookmarkStart w:name="z5" w:id="5"/>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