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05cb" w14:textId="1510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2024 жылдың бірінші тоқсанына арналған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13 ақпандағы № 09/06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маңызы бар азық-түлік тауарларына бөлшек сауда бағаларының шекті мәндерін және оларға шекті рұқсат етілген бөлшек сауда бағаларының мөлшерін белгілеу қағидаларын бекіту туралы"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бөлшек сауда бағаларының 2024 жылдың бірінші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ететін орынбасарына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09/06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облысындағы 2024 жылғы 1 тоқсанына арналған шекті бағалар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ұсыныстар негізіндегі өндірушілердің, көтерме саудагерлердің бағасы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өндірушілер / көтерме саудагерлер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шағын өндірушілер / көтерме саудагерлер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/ л / ондығы үшін орташа сату бағасы (өндіруші және көтерме сатушы)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үстемесін ескере отырып кг/л/он- дық үшін 15% - дан аспайтын мөлшерде,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сауда үстемесін ескере отырып, кг/л /ондығы үшін 15% - дан аспайтын мөлшерде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логистикалық шығындар*, кг/л/ондығы үшін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сақтау шығындары Кг/л/ондығы үшін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 / л / ондық үшін шекті баға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ұннан жасалған бидай наны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кеспе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Өңделген, жылтыратылған күріш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Тұздалмаған сары май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етінің жауырын-төс бөлігі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(сан мен жіліншік етімен)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қырыққабат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Жұмыртқа, 1 санат, ондығы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ұннан жасалған бидай наны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