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8ced" w14:textId="820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2024 жылдың төртінші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11 қазандағы № 61/04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2024 жылдың төртінші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61/04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2024 жылдың 4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ұсыныстар негізіндегі өндірушілердің, көтерме саудагерлердің бағасы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өндірушілер/көтерме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/ шағын өндірушілер / көтерме саудагерлер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мен жіліншік етімен)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Кг/л/ондығы үшін орташа сату бағасы (өндіруші және көтерме сатушы)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сауда үстемесін ескере отырып, кг/л/ондығы үшін 15%-дан аспайтын мөлшерде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сауда үстемесін ескере отырып, кг/л/ондығы үшін 15% - дан аспайтын мөлшерде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шығындары, кг/л/ондығы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Кг/л/ондық үшін шекті баға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