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ea9c" w14:textId="4d5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2024 жылғы 29 ақпандағы № 13/14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31-бабына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"Теміртау қаласының тұрғын үй-коммуналдық шаруашылығы, жолаушылар көлігі және автомобиль жолдары бөлімі" мемлекеттік мекемесіне Қарағанды-Теміртау суаққысын пайдалану және одан әрі реконструкциялау үшін, меншік иелері мен жер пайдаланушылардан жер учаскелерін алып қоймай,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ауданы 3,1850 га жер учаскесіне 49 жыл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 міндетіме аламын.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"Теміртау қаласының тұрғын үй-коммуналдық шаруашылығы, жолаушылар көлігі және автомобиль жолдары бөлімі" мемлекеттік мекемесіне жария сервитут белгіленетін жер учаскелерінің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меншік иесінің (жер пайдаланушының)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жария сервитут белгіленген аудан,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09-145-107-1826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""Қазақстан темір жолы" ұлттық компаниясы" 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09-145-107-1795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Көлік министрлігінің Автомобиль жолдары комитеті" РММ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09-145-107-1800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09-145-030-643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09-145-030-644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