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e01" w14:textId="0733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9 шілдедегі № 103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235 582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168 584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251 382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27 227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36 750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-3 870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3 870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34 859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43 062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130 043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126 414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135 643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-5 600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5 600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71 603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–7 140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78 319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-6 716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6 716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6 716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22 168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2 114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22 351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–33 251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28 637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42 872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-9 621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9 621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34 623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31 435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35 835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-1 212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1 212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– 2026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80 317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73 685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81 897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1 580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 – 2026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23 206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27 578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- 1 800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 – 2026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46 908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37 024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51 208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- 4 300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4 300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4 300 теңге.".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3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4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24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