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a7bd" w14:textId="b7aa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көлемін, оның ішінде дәрілік заттарды, арнайы емдік өнімдерді, медициналық бұйымдарды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23 қазандағы № 121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көлемін, оның ішінде дәрілік заттарды, арнайы емдік өнімдерді, медициналық бұйымдар қосымша берілсін.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айғақтар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атаулары (шығару нысаны)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МКБ Е84-Е84.9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тізбелі триглициридтері бар мамандандырылған қорек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(Сусын немесе қосымша тамақтануға, сондай-ақ энтералді зонд ретінде қолдануға арналған.3-жастан жоғары балаларға және ересектерге тағайындалады)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екіншілік өкпе артериясының гипертензиясы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-I27.2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сатылары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Риоцигуат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Аяқтың эмболиясы және тромбозы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I74.4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антикоагулянттық дәрілік препараты қолдану мүмкін болмағанда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(инъекцияға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Ювенильді идиопатиялық артрит (балалардағы)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МКБ-M08.0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полиартритикалық формасы мен жүйелер бойынша зақымдану клиникалық белгілерінің болуы, этиотропты генді-инженерлік биологиялық дәрілік препаратты ем ретінде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Адалимубаб (инъекцияға арналған ерітінді)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 (инфузия үшін ерітінді дайындауға арналған лиофилизат)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(капсула)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Буллезды эпидермолиз МКБ -Q81.0-Q81.9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Таңып-байлау материалдары мамандандырылған қорек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Көмей стенозы IV дәрежесі (балалардағы)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-J36.8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мақсатында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Будесонид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(ингаляцияға арналған суспензия)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шұғыл көмек көрсетуде және түтікше айналасындағы теріні өңдеп тұру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(сыртқа қолдануға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Стерильды бинт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Повидон – йод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(сыртқа қолдану арналған)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(ерітінді)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Энтеральды тамақтану зонды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Целиакия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-K90.0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 біткен ферментопатия кезіндегі алмастырғыш дәрілік препарат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(капсула)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сапасын жақсартады және өмір сүру ұзақтығын ұзартады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Глютенсіз, жұмыртқасыз, сүтсіз нан пісіруге арналған ұн қоспасы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қабынулық демиелинизациялық полинейропатия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-G61.8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Инфекцияға ағзаның қарсы тұра алу қабілетін қамтамасыз етуге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(тамыр ішіне енгізуге арналған)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Остеопароз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-M80.0-M82.8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Остеопаразоның генерализацияланған нысаны, ауыр ағымы, III, IV дәрежелері, сүйек кемегінің бұзылуы ұлғайған кезінде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Золедрон қышқылы (инфузияға арналған ерітінді)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 біткен гиперинсулинизм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-E16.1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 біткен гормонопатия кезіндегі алмастырғыш препараты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(көктамыр ішіне және 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Көптік миелома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-C90.0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Көптік миелома ауруын емдеу үшін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 (инфузиялық ерітіндіні дайындайтын концентрат)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(капсула)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диабеті 1 типі,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ағымда декомпенсация сатысы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-E10.1-E10.8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Гипергликемиялық жағдайға байланысты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Инсулиндік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помпаға арналған резервуар 3 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(инсулин помпасына жиынтық)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гетеротоксикалық аллотрансплантациясынан кейінгі жағдай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трансплантациясынан кейінгі қауіп тобына жататын науқастарды цитомегаловирустық инфекцияның алдын алу мақсатында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(таблетка/капсула,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препараттың саудалық атауы Гансил немесе Вальцит)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Дюшенн бұлшықет дистрофиясы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Метаболикалық процестерді түзету (ақуыз және май алмасуын қалыпқа келтіру)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(ішке қабылдауға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жеткіліксіздігі, терминалдық сатысы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N 18.0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Перитониальды диализ жасау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(перитонеальді диализ ерітіндісі)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материалдары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(өтпелі түтік, қысқыштар,катетр, дренаждық комплект, магистраль жиынтығы, энтеральды тамақтандыруға арналған система)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қорек, өмір сүру ұзақтығын ұзартады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Энтеральды және парентеральды тамақтануға арналған қоспа;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Ванильді хош иісі бар энтеральды тамақтануға арналған мамандандырылған қоспа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Псориаз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-L40.0-L40.9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ересектер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Ауырлықтың дәрежесіне қарамастан барлық түрлері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салицил қышқылы, жақпа майы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Психикалық және мінез-құлықтық ауытқулары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-Z03.2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есепте тұрмайтындар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Депрессиялық жағдайлар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Сертралин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(таблетка)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Қобалжу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 (таблетка)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Криопирин-ассоциирленген кезеңдік синдромы (CAPS)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–М04.2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полиартритикалық формасы мен жүйелер бойынша зақымдану клиникалық белгілерінің болуы, этиотропты генді-инженерлік биологиялық дәрілік препаратты ем ретінде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Канакинумаб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қызыл жегі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-M32.0-M32.9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маңызды органдардың зақымдануы терапияға рефрактерлі және қауіпті жағдайларда немесе стандартты иммуносупрессанттарға төзбеушілік/қарсы көрсетілімдер кезінде емдеу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(ерітінді дайындауға арналған концентрат)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Амиотрофиялық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бүйірлік склероз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-G12.2-G12.9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Мидағы глюкозаның метаболизм процестерінің қалыпты төмендеуін тудырады, гипоксияға қарсы қорғаныс әсері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(таблетка)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Гепатоцеллюлярлық карцинома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МКБ -C22.0-C22.9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(ерітінді дайындауға арналған концентрат)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 қуалайтын анги-оневротикалық ісіну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-T78.3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Диспансерлік есепте тұрған барлық санаттар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С1-эстеразы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(ерітіндіні дайындауға арналған лиофилизат)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остеопороз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денелерінің сыну қаупін азайтады, сыну қаупі жоғары остеопорозбен ауыратын науқастар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 (инфузиялық ерітіндіні дайындайтын концентрат)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Нейрофиброматоз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типті, плексиформды түрі МКБ -Q85.0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Нейрофиброматозды емдеуде ісік жасушаларының өсуін және көбеюін тоқтатуға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(капсула)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склероздың басқа түрлері М34.8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ұйымның дәрігерлік-консультациялық комиссиясының шешімі бойынша бірінші желілік терапияның тиімсіз болуы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(тері астына енгізуге арналған ерітінді)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Жұлын бұлшықетінің дистрофиясы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МКБ G12.0-G12.9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(ішке қабылдауға арналған ерітінді дайындауға арналған ұнтақ)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